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6117B" w:rsidRPr="00967CFB" w:rsidRDefault="00D6117B" w:rsidP="00D6117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AF7138">
        <w:rPr>
          <w:rFonts w:ascii="Arial" w:hAnsi="Arial" w:cs="Arial"/>
          <w:b/>
          <w:bCs/>
          <w:sz w:val="28"/>
        </w:rPr>
        <w:t>10154</w:t>
      </w:r>
    </w:p>
    <w:bookmarkEnd w:id="0"/>
    <w:p w:rsidR="00D6117B" w:rsidRPr="009513AC" w:rsidRDefault="00D6117B" w:rsidP="00D611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557396" w:rsidRPr="00ED06D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930759">
        <w:rPr>
          <w:sz w:val="22"/>
          <w:szCs w:val="22"/>
        </w:rPr>
        <w:t>2</w:t>
      </w:r>
      <w:r w:rsidR="00047A06">
        <w:rPr>
          <w:sz w:val="22"/>
          <w:szCs w:val="22"/>
        </w:rPr>
        <w:t>.</w:t>
      </w:r>
      <w:r w:rsidR="0093075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5555A">
        <w:rPr>
          <w:sz w:val="22"/>
          <w:szCs w:val="22"/>
        </w:rPr>
        <w:t>CSI</w:t>
      </w:r>
      <w:r w:rsidR="00EA7968">
        <w:rPr>
          <w:sz w:val="22"/>
          <w:szCs w:val="22"/>
        </w:rPr>
        <w:t xml:space="preserve"> Enhancement for NR </w:t>
      </w:r>
      <w:r w:rsidR="0045555A">
        <w:rPr>
          <w:sz w:val="22"/>
          <w:szCs w:val="22"/>
        </w:rPr>
        <w:t>MIMO</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D38A8">
        <w:rPr>
          <w:lang w:val="en-US"/>
        </w:rPr>
        <w:t>RAN1 #11</w:t>
      </w:r>
      <w:r w:rsidR="00352FF1">
        <w:rPr>
          <w:lang w:val="en-US"/>
        </w:rPr>
        <w:t>8</w:t>
      </w:r>
      <w:r w:rsidR="00D6117B">
        <w:rPr>
          <w:lang w:val="en-US"/>
        </w:rPr>
        <w:t>b</w:t>
      </w:r>
      <w:r w:rsidR="00AD38A8">
        <w:rPr>
          <w:lang w:val="en-US"/>
        </w:rPr>
        <w:t xml:space="preserve"> meeting</w:t>
      </w:r>
      <w:r>
        <w:rPr>
          <w:lang w:val="en-US"/>
        </w:rPr>
        <w:t xml:space="preserve">, </w:t>
      </w:r>
      <w:r w:rsidR="00330A5A">
        <w:rPr>
          <w:lang w:val="en-US"/>
        </w:rPr>
        <w:t xml:space="preserve">the following </w:t>
      </w:r>
      <w:r w:rsidR="00AD38A8">
        <w:rPr>
          <w:lang w:val="en-US"/>
        </w:rPr>
        <w:t>agreements on CSI enhancement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rFonts w:eastAsia="Malgun Gothic"/>
                <w:sz w:val="20"/>
                <w:szCs w:val="20"/>
                <w:lang w:eastAsia="zh-TW"/>
              </w:rPr>
            </w:pPr>
            <w:r w:rsidRPr="000F5946">
              <w:rPr>
                <w:rFonts w:eastAsia="Malgun Gothic"/>
                <w:sz w:val="20"/>
                <w:szCs w:val="20"/>
                <w:lang w:eastAsia="zh-TW"/>
              </w:rPr>
              <w:t>For a UE configured with a total of P</w:t>
            </w:r>
            <w:r w:rsidRPr="000F5946">
              <w:rPr>
                <w:rFonts w:eastAsia="Malgun Gothic"/>
                <w:sz w:val="20"/>
                <w:szCs w:val="20"/>
                <w:vertAlign w:val="subscript"/>
                <w:lang w:eastAsia="zh-TW"/>
              </w:rPr>
              <w:t>SRS</w:t>
            </w:r>
            <w:r w:rsidRPr="000F5946">
              <w:rPr>
                <w:rFonts w:eastAsia="Malgun Gothic"/>
                <w:sz w:val="20"/>
                <w:szCs w:val="20"/>
                <w:lang w:eastAsia="zh-TW"/>
              </w:rPr>
              <w:t>=6 or 8 ports across ≥1 SRS resources</w:t>
            </w:r>
            <w:r w:rsidRPr="000F5946">
              <w:rPr>
                <w:sz w:val="20"/>
                <w:szCs w:val="20"/>
              </w:rPr>
              <w:t xml:space="preserve"> </w:t>
            </w:r>
            <w:r w:rsidRPr="000F5946">
              <w:rPr>
                <w:rFonts w:eastAsia="Malgun Gothic"/>
                <w:sz w:val="20"/>
                <w:szCs w:val="20"/>
                <w:lang w:eastAsia="zh-TW"/>
              </w:rPr>
              <w:t>for antenna switching intended for xT6R or xT8R, respectively, support the following fixed SRS port grouping where (with the P</w:t>
            </w:r>
            <w:r w:rsidRPr="000F5946">
              <w:rPr>
                <w:rFonts w:eastAsia="Malgun Gothic"/>
                <w:sz w:val="20"/>
                <w:szCs w:val="20"/>
                <w:vertAlign w:val="subscript"/>
                <w:lang w:eastAsia="zh-TW"/>
              </w:rPr>
              <w:t>SRS</w:t>
            </w:r>
            <w:r w:rsidRPr="000F5946">
              <w:rPr>
                <w:rFonts w:eastAsia="Malgun Gothic"/>
                <w:sz w:val="20"/>
                <w:szCs w:val="20"/>
                <w:lang w:eastAsia="zh-TW"/>
              </w:rPr>
              <w:t xml:space="preserve"> ports indexed in an ascending order according to SRS resource ID and port number within each SRS resource): </w:t>
            </w:r>
          </w:p>
          <w:p w:rsidR="00D6117B" w:rsidRPr="000F5946" w:rsidRDefault="00D6117B" w:rsidP="00D6117B">
            <w:pPr>
              <w:numPr>
                <w:ilvl w:val="0"/>
                <w:numId w:val="855"/>
              </w:numPr>
              <w:snapToGrid w:val="0"/>
              <w:rPr>
                <w:sz w:val="20"/>
                <w:szCs w:val="20"/>
                <w:lang w:eastAsia="zh-TW"/>
              </w:rPr>
            </w:pPr>
            <w:r w:rsidRPr="000F5946">
              <w:rPr>
                <w:sz w:val="20"/>
                <w:szCs w:val="20"/>
                <w:lang w:eastAsia="zh-TW"/>
              </w:rPr>
              <w:t>SRS port group 0, corresponding to CW0, comprises the even P</w:t>
            </w:r>
            <w:r w:rsidRPr="000F5946">
              <w:rPr>
                <w:sz w:val="20"/>
                <w:szCs w:val="20"/>
                <w:vertAlign w:val="subscript"/>
                <w:lang w:eastAsia="zh-TW"/>
              </w:rPr>
              <w:t>SRS</w:t>
            </w:r>
            <w:r w:rsidRPr="000F5946">
              <w:rPr>
                <w:sz w:val="20"/>
                <w:szCs w:val="20"/>
                <w:lang w:eastAsia="zh-TW"/>
              </w:rPr>
              <w:t>/2 out of P</w:t>
            </w:r>
            <w:r w:rsidRPr="000F5946">
              <w:rPr>
                <w:sz w:val="20"/>
                <w:szCs w:val="20"/>
                <w:vertAlign w:val="subscript"/>
                <w:lang w:eastAsia="zh-TW"/>
              </w:rPr>
              <w:t>SRS</w:t>
            </w:r>
            <w:r w:rsidRPr="000F5946">
              <w:rPr>
                <w:sz w:val="20"/>
                <w:szCs w:val="20"/>
                <w:lang w:eastAsia="zh-TW"/>
              </w:rPr>
              <w:t xml:space="preserve"> ports; and </w:t>
            </w:r>
          </w:p>
          <w:p w:rsidR="00D6117B" w:rsidRPr="000F5946" w:rsidRDefault="00D6117B" w:rsidP="00D6117B">
            <w:pPr>
              <w:numPr>
                <w:ilvl w:val="0"/>
                <w:numId w:val="855"/>
              </w:numPr>
              <w:snapToGrid w:val="0"/>
              <w:rPr>
                <w:sz w:val="20"/>
                <w:szCs w:val="20"/>
                <w:lang w:eastAsia="zh-TW"/>
              </w:rPr>
            </w:pPr>
            <w:r w:rsidRPr="000F5946">
              <w:rPr>
                <w:sz w:val="20"/>
                <w:szCs w:val="20"/>
                <w:lang w:eastAsia="zh-TW"/>
              </w:rPr>
              <w:t>SRS port group 1, corresponding to CW1, comprises the odd P</w:t>
            </w:r>
            <w:r w:rsidRPr="000F5946">
              <w:rPr>
                <w:sz w:val="20"/>
                <w:szCs w:val="20"/>
                <w:vertAlign w:val="subscript"/>
                <w:lang w:eastAsia="zh-TW"/>
              </w:rPr>
              <w:t>SRS</w:t>
            </w:r>
            <w:r w:rsidRPr="000F5946">
              <w:rPr>
                <w:sz w:val="20"/>
                <w:szCs w:val="20"/>
                <w:lang w:eastAsia="zh-TW"/>
              </w:rPr>
              <w:t>/2 out of P</w:t>
            </w:r>
            <w:r w:rsidRPr="000F5946">
              <w:rPr>
                <w:sz w:val="20"/>
                <w:szCs w:val="20"/>
                <w:vertAlign w:val="subscript"/>
                <w:lang w:eastAsia="zh-TW"/>
              </w:rPr>
              <w:t>SRS</w:t>
            </w:r>
            <w:r w:rsidRPr="000F5946">
              <w:rPr>
                <w:sz w:val="20"/>
                <w:szCs w:val="20"/>
                <w:lang w:eastAsia="zh-TW"/>
              </w:rPr>
              <w:t xml:space="preserve"> ports </w:t>
            </w:r>
          </w:p>
          <w:p w:rsidR="00D6117B" w:rsidRPr="000F5946" w:rsidRDefault="00D6117B" w:rsidP="00D6117B">
            <w:pPr>
              <w:snapToGrid w:val="0"/>
              <w:jc w:val="both"/>
              <w:rPr>
                <w:sz w:val="20"/>
                <w:szCs w:val="20"/>
              </w:rPr>
            </w:pPr>
            <w:r w:rsidRPr="000F5946">
              <w:rPr>
                <w:sz w:val="20"/>
                <w:szCs w:val="20"/>
              </w:rPr>
              <w:t>The above feature is applicable only for reportQuantity = ‘cri-RI-CQI’</w:t>
            </w:r>
          </w:p>
          <w:p w:rsidR="00D6117B" w:rsidRPr="000F5946" w:rsidRDefault="00D6117B" w:rsidP="00D6117B">
            <w:pPr>
              <w:snapToGrid w:val="0"/>
              <w:jc w:val="both"/>
              <w:rPr>
                <w:sz w:val="20"/>
                <w:szCs w:val="20"/>
              </w:rPr>
            </w:pPr>
            <w:r w:rsidRPr="000F5946">
              <w:rPr>
                <w:sz w:val="20"/>
                <w:szCs w:val="20"/>
              </w:rPr>
              <w:t xml:space="preserve">No other spec enhancement is introduced on new CW-to-layer mapping, DL resource allocation, CSI feedback, and DCI format </w:t>
            </w:r>
          </w:p>
          <w:p w:rsidR="00D6117B" w:rsidRPr="000F5946" w:rsidRDefault="00D6117B" w:rsidP="00D6117B">
            <w:pPr>
              <w:snapToGrid w:val="0"/>
              <w:rPr>
                <w:sz w:val="20"/>
                <w:szCs w:val="20"/>
                <w:lang w:eastAsia="zh-TW"/>
              </w:rPr>
            </w:pPr>
            <w:r w:rsidRPr="000F5946">
              <w:rPr>
                <w:sz w:val="20"/>
                <w:szCs w:val="20"/>
                <w:lang w:eastAsia="zh-TW"/>
              </w:rPr>
              <w:t xml:space="preserve">Note: The above grouping assumption is to align NW and UE on the association between SRS ports and reported CQIs for the two CWs when </w:t>
            </w:r>
            <w:r w:rsidRPr="000F5946">
              <w:rPr>
                <w:sz w:val="20"/>
                <w:szCs w:val="20"/>
              </w:rPr>
              <w:t>reportQuantity = ‘cri-RI-CQI’</w:t>
            </w:r>
            <w:r w:rsidRPr="000F5946">
              <w:rPr>
                <w:sz w:val="20"/>
                <w:szCs w:val="20"/>
                <w:lang w:eastAsia="zh-TW"/>
              </w:rPr>
              <w:t>.</w:t>
            </w:r>
          </w:p>
          <w:p w:rsidR="00D6117B" w:rsidRPr="000F5946" w:rsidRDefault="00D6117B" w:rsidP="00D6117B">
            <w:pPr>
              <w:snapToGrid w:val="0"/>
              <w:rPr>
                <w:rFonts w:eastAsia="Malgun Gothic"/>
                <w:sz w:val="20"/>
                <w:szCs w:val="20"/>
                <w:lang w:eastAsia="zh-TW"/>
              </w:rPr>
            </w:pPr>
            <w:r w:rsidRPr="000F5946">
              <w:rPr>
                <w:rFonts w:eastAsia="Malgun Gothic"/>
                <w:sz w:val="20"/>
                <w:szCs w:val="20"/>
                <w:lang w:eastAsia="zh-TW"/>
              </w:rPr>
              <w:t>Note: different SRS ports are associated with different UE antenna ports.</w:t>
            </w:r>
          </w:p>
          <w:p w:rsidR="00D6117B" w:rsidRPr="000F5946" w:rsidRDefault="00D6117B" w:rsidP="00D6117B">
            <w:pPr>
              <w:snapToGrid w:val="0"/>
              <w:rPr>
                <w:rFonts w:eastAsia="Malgun Gothic"/>
                <w:sz w:val="20"/>
                <w:szCs w:val="20"/>
                <w:lang w:eastAsia="zh-TW"/>
              </w:rPr>
            </w:pPr>
            <w:r w:rsidRPr="000F5946">
              <w:rPr>
                <w:rFonts w:eastAsia="Malgun Gothic"/>
                <w:sz w:val="20"/>
                <w:szCs w:val="20"/>
                <w:lang w:eastAsia="zh-TW"/>
              </w:rPr>
              <w:t>Note: if one single CW is scheduled, both SRS port groups can correspond to the same CW, i.e. no enhancement is needed for the single-CW case</w:t>
            </w:r>
          </w:p>
          <w:p w:rsidR="00D6117B" w:rsidRPr="000F5946" w:rsidRDefault="00D6117B" w:rsidP="00D6117B">
            <w:pPr>
              <w:snapToGrid w:val="0"/>
              <w:rPr>
                <w:rFonts w:eastAsia="Malgun Gothic"/>
                <w:sz w:val="20"/>
                <w:szCs w:val="20"/>
                <w:lang w:eastAsia="zh-TW"/>
              </w:rPr>
            </w:pPr>
            <w:r w:rsidRPr="000F5946">
              <w:rPr>
                <w:rFonts w:eastAsia="Malgun Gothic"/>
                <w:sz w:val="20"/>
                <w:szCs w:val="20"/>
                <w:lang w:eastAsia="zh-TW"/>
              </w:rPr>
              <w:t>Note: This feature is a separate UE capability and, for UEs supporting this capability, configured via RRC (FFS details on the extend of RRC configuration)</w:t>
            </w:r>
          </w:p>
          <w:p w:rsidR="00D6117B" w:rsidRPr="000F5946" w:rsidRDefault="00D6117B" w:rsidP="00D6117B">
            <w:pPr>
              <w:overflowPunct w:val="0"/>
              <w:autoSpaceDE w:val="0"/>
              <w:autoSpaceDN w:val="0"/>
              <w:adjustRightInd w:val="0"/>
              <w:snapToGrid w:val="0"/>
              <w:textAlignment w:val="baseline"/>
              <w:rPr>
                <w:sz w:val="20"/>
                <w:szCs w:val="20"/>
              </w:rPr>
            </w:pPr>
            <w:r w:rsidRPr="000F5946">
              <w:rPr>
                <w:sz w:val="20"/>
                <w:szCs w:val="20"/>
              </w:rPr>
              <w:t>Note: Whether to support 6Rx with more than 4 layers is to be decided in RAN4 Rel-19 RF enhancements WI</w:t>
            </w:r>
          </w:p>
          <w:p w:rsidR="00D6117B" w:rsidRPr="000F5946" w:rsidRDefault="00D6117B" w:rsidP="00D6117B">
            <w:pPr>
              <w:overflowPunct w:val="0"/>
              <w:snapToGrid w:val="0"/>
              <w:textAlignment w:val="baseline"/>
              <w:rPr>
                <w:color w:val="000000" w:themeColor="text1"/>
                <w:kern w:val="24"/>
                <w:sz w:val="20"/>
                <w:szCs w:val="20"/>
              </w:rPr>
            </w:pPr>
            <w:r w:rsidRPr="000F5946">
              <w:rPr>
                <w:color w:val="000000" w:themeColor="text1"/>
                <w:kern w:val="24"/>
                <w:sz w:val="20"/>
                <w:szCs w:val="20"/>
              </w:rPr>
              <w:t xml:space="preserve">FFS (by RAN1#118bis): Whether there is impact on mapping between CWs to CSI-RS ports </w:t>
            </w:r>
          </w:p>
          <w:p w:rsidR="00D6117B" w:rsidRPr="000F5946" w:rsidRDefault="00D6117B" w:rsidP="00D6117B">
            <w:pPr>
              <w:overflowPunct w:val="0"/>
              <w:snapToGrid w:val="0"/>
              <w:textAlignment w:val="baseline"/>
              <w:rPr>
                <w:color w:val="000000" w:themeColor="text1"/>
                <w:kern w:val="24"/>
                <w:sz w:val="20"/>
                <w:szCs w:val="20"/>
              </w:rPr>
            </w:pPr>
            <w:r w:rsidRPr="000F5946">
              <w:rPr>
                <w:color w:val="000000" w:themeColor="text1"/>
                <w:kern w:val="24"/>
                <w:sz w:val="20"/>
                <w:szCs w:val="20"/>
              </w:rPr>
              <w:t>For SRS antenna switching with multiple aperiodic SRS resource sets, P</w:t>
            </w:r>
            <w:r w:rsidRPr="000F5946">
              <w:rPr>
                <w:color w:val="000000" w:themeColor="text1"/>
                <w:kern w:val="24"/>
                <w:sz w:val="20"/>
                <w:szCs w:val="20"/>
                <w:vertAlign w:val="subscript"/>
              </w:rPr>
              <w:t>SRS</w:t>
            </w:r>
            <w:r w:rsidRPr="000F5946">
              <w:rPr>
                <w:color w:val="000000" w:themeColor="text1"/>
                <w:kern w:val="24"/>
                <w:sz w:val="20"/>
                <w:szCs w:val="20"/>
              </w:rPr>
              <w:t xml:space="preserve"> ports indexed in an ascending order according to SRS resource set ID and SRS resource ID in a set and port number within each SRS resource</w:t>
            </w:r>
          </w:p>
          <w:p w:rsidR="00D6117B" w:rsidRPr="000F5946" w:rsidRDefault="00D6117B" w:rsidP="00D6117B">
            <w:pPr>
              <w:snapToGrid w:val="0"/>
              <w:jc w:val="both"/>
              <w:rPr>
                <w:sz w:val="20"/>
                <w:szCs w:val="20"/>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widowControl w:val="0"/>
              <w:snapToGrid w:val="0"/>
              <w:rPr>
                <w:iCs/>
                <w:sz w:val="20"/>
                <w:szCs w:val="20"/>
              </w:rPr>
            </w:pPr>
            <w:r w:rsidRPr="000F5946">
              <w:rPr>
                <w:sz w:val="20"/>
                <w:szCs w:val="20"/>
              </w:rPr>
              <w:t xml:space="preserve">For the </w:t>
            </w:r>
            <w:r w:rsidRPr="000F5946">
              <w:rPr>
                <w:iCs/>
                <w:sz w:val="20"/>
                <w:szCs w:val="20"/>
              </w:rPr>
              <w:t xml:space="preserve">Rel-19 Type-I SP and Type-II codebook refinements (except based on Rel-18 Type-II Doppler) for </w:t>
            </w:r>
            <w:r w:rsidRPr="000F5946">
              <w:rPr>
                <w:rFonts w:eastAsia="SimSun"/>
                <w:iCs/>
                <w:sz w:val="20"/>
                <w:szCs w:val="20"/>
              </w:rPr>
              <w:t>48, 64, and</w:t>
            </w:r>
            <w:r w:rsidRPr="000F5946">
              <w:rPr>
                <w:iCs/>
                <w:sz w:val="20"/>
                <w:szCs w:val="20"/>
              </w:rPr>
              <w:t xml:space="preserve"> 128 CSI-RS ports, active resource counting is:</w:t>
            </w:r>
          </w:p>
          <w:p w:rsidR="00D6117B" w:rsidRPr="000F5946" w:rsidRDefault="00D6117B" w:rsidP="00D6117B">
            <w:pPr>
              <w:pStyle w:val="ListParagraph"/>
              <w:widowControl w:val="0"/>
              <w:numPr>
                <w:ilvl w:val="0"/>
                <w:numId w:val="834"/>
              </w:numPr>
              <w:snapToGrid w:val="0"/>
              <w:ind w:leftChars="0" w:left="400" w:hanging="400"/>
              <w:rPr>
                <w:iCs/>
                <w:szCs w:val="20"/>
              </w:rPr>
            </w:pPr>
            <w:r w:rsidRPr="000F5946">
              <w:rPr>
                <w:iCs/>
                <w:szCs w:val="20"/>
              </w:rPr>
              <w:t xml:space="preserve">For Capability 1 timeline: 1 </w:t>
            </w:r>
          </w:p>
          <w:p w:rsidR="00D6117B" w:rsidRPr="000F5946" w:rsidRDefault="00D6117B" w:rsidP="00D6117B">
            <w:pPr>
              <w:pStyle w:val="ListParagraph"/>
              <w:widowControl w:val="0"/>
              <w:numPr>
                <w:ilvl w:val="0"/>
                <w:numId w:val="834"/>
              </w:numPr>
              <w:snapToGrid w:val="0"/>
              <w:ind w:leftChars="0" w:left="400" w:hanging="400"/>
              <w:rPr>
                <w:iCs/>
                <w:szCs w:val="20"/>
              </w:rPr>
            </w:pPr>
            <w:r w:rsidRPr="000F5946">
              <w:rPr>
                <w:iCs/>
                <w:szCs w:val="20"/>
              </w:rPr>
              <w:t>For Capability 2 timeline: 1</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iCs/>
                <w:sz w:val="20"/>
                <w:szCs w:val="20"/>
              </w:rPr>
            </w:pPr>
            <w:r w:rsidRPr="000F5946">
              <w:rPr>
                <w:iCs/>
                <w:sz w:val="20"/>
                <w:szCs w:val="20"/>
              </w:rPr>
              <w:t>For the Rel-19 Type-I SP codebook refinement for 48, 64, and 128 CSI-RS ports, regarding the support for the 3-bit scaling factor(s) for RI=</w:t>
            </w:r>
            <w:r w:rsidRPr="000F5946">
              <w:rPr>
                <w:i/>
                <w:iCs/>
                <w:sz w:val="20"/>
                <w:szCs w:val="20"/>
              </w:rPr>
              <w:t>v</w:t>
            </w:r>
            <w:r w:rsidRPr="000F5946">
              <w:rPr>
                <w:iCs/>
                <w:sz w:val="20"/>
                <w:szCs w:val="20"/>
              </w:rPr>
              <w:t xml:space="preserve"> &gt;1, support only for RI=</w:t>
            </w:r>
            <w:r w:rsidRPr="000F5946">
              <w:rPr>
                <w:i/>
                <w:iCs/>
                <w:sz w:val="20"/>
                <w:szCs w:val="20"/>
              </w:rPr>
              <w:t>v</w:t>
            </w:r>
            <w:r w:rsidRPr="000F5946">
              <w:rPr>
                <w:iCs/>
                <w:sz w:val="20"/>
                <w:szCs w:val="20"/>
              </w:rPr>
              <w:t xml:space="preserve">=2 without per-SD-basis-vector/layer power adjustment/boosting </w:t>
            </w:r>
          </w:p>
          <w:p w:rsidR="00D6117B" w:rsidRPr="000F5946" w:rsidRDefault="00D6117B" w:rsidP="00D6117B">
            <w:pPr>
              <w:pStyle w:val="ListParagraph"/>
              <w:numPr>
                <w:ilvl w:val="0"/>
                <w:numId w:val="1052"/>
              </w:numPr>
              <w:snapToGrid w:val="0"/>
              <w:ind w:leftChars="0" w:left="400" w:hanging="400"/>
              <w:contextualSpacing/>
              <w:rPr>
                <w:szCs w:val="20"/>
              </w:rPr>
            </w:pPr>
            <w:r w:rsidRPr="000F5946">
              <w:rPr>
                <w:szCs w:val="20"/>
              </w:rPr>
              <w:t>FFS: Details on per-layer scaling factor applied to each of the selected SD basis vectors, extending the agreed scaling factor for RI=</w:t>
            </w:r>
            <w:r w:rsidRPr="000F5946">
              <w:rPr>
                <w:i/>
                <w:iCs/>
                <w:szCs w:val="20"/>
              </w:rPr>
              <w:t xml:space="preserve"> v</w:t>
            </w:r>
            <w:r w:rsidRPr="000F5946">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sidRPr="000F5946">
              <w:rPr>
                <w:iCs/>
                <w:szCs w:val="20"/>
              </w:rPr>
              <w:t xml:space="preserve"> </w:t>
            </w:r>
            <w:r w:rsidRPr="000F5946">
              <w:rPr>
                <w:szCs w:val="20"/>
              </w:rPr>
              <w:t>(in RAN1#117)</w:t>
            </w:r>
          </w:p>
          <w:p w:rsidR="00D6117B" w:rsidRPr="000F5946" w:rsidRDefault="00D6117B" w:rsidP="00D6117B">
            <w:pPr>
              <w:widowControl w:val="0"/>
              <w:snapToGrid w:val="0"/>
              <w:rPr>
                <w:iCs/>
                <w:sz w:val="20"/>
                <w:szCs w:val="20"/>
                <w:lang w:eastAsia="ko-KR"/>
              </w:rPr>
            </w:pPr>
            <w:r w:rsidRPr="000F5946">
              <w:rPr>
                <w:iCs/>
                <w:sz w:val="20"/>
                <w:szCs w:val="20"/>
              </w:rPr>
              <w:t>This feature is a separate UE capability from soft scaling for RI=</w:t>
            </w:r>
            <w:r w:rsidRPr="000F5946">
              <w:rPr>
                <w:i/>
                <w:iCs/>
                <w:sz w:val="20"/>
                <w:szCs w:val="20"/>
              </w:rPr>
              <w:t>v</w:t>
            </w:r>
            <w:r w:rsidRPr="000F5946">
              <w:rPr>
                <w:iCs/>
                <w:sz w:val="20"/>
                <w:szCs w:val="20"/>
              </w:rPr>
              <w:t>=1</w:t>
            </w:r>
            <w:r w:rsidRPr="000F5946">
              <w:rPr>
                <w:rFonts w:hint="eastAsia"/>
                <w:iCs/>
                <w:sz w:val="20"/>
                <w:szCs w:val="20"/>
                <w:lang w:eastAsia="ko-KR"/>
              </w:rPr>
              <w:t>. Introduce new RRC parameter to enable the feature.</w:t>
            </w:r>
          </w:p>
          <w:p w:rsidR="00D6117B" w:rsidRPr="000F5946" w:rsidRDefault="00D6117B" w:rsidP="00D6117B">
            <w:pPr>
              <w:widowControl w:val="0"/>
              <w:snapToGrid w:val="0"/>
              <w:rPr>
                <w:iCs/>
                <w:sz w:val="20"/>
                <w:szCs w:val="20"/>
              </w:rPr>
            </w:pPr>
            <w:r w:rsidRPr="000F5946">
              <w:rPr>
                <w:iCs/>
                <w:sz w:val="20"/>
                <w:szCs w:val="20"/>
              </w:rPr>
              <w:t>Note: This doesn’t preclude the use of power boosting at the NW side by implementation</w:t>
            </w:r>
          </w:p>
          <w:p w:rsidR="00D6117B" w:rsidRPr="000F5946" w:rsidRDefault="00D6117B" w:rsidP="00D6117B">
            <w:pPr>
              <w:widowControl w:val="0"/>
              <w:snapToGrid w:val="0"/>
              <w:rPr>
                <w:iCs/>
                <w:sz w:val="20"/>
                <w:szCs w:val="20"/>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jc w:val="both"/>
              <w:rPr>
                <w:iCs/>
                <w:sz w:val="20"/>
                <w:szCs w:val="20"/>
              </w:rPr>
            </w:pPr>
            <w:r w:rsidRPr="000F5946">
              <w:rPr>
                <w:sz w:val="20"/>
                <w:szCs w:val="20"/>
              </w:rPr>
              <w:lastRenderedPageBreak/>
              <w:t xml:space="preserve">For the </w:t>
            </w:r>
            <w:r w:rsidRPr="000F5946">
              <w:rPr>
                <w:iCs/>
                <w:sz w:val="20"/>
                <w:szCs w:val="20"/>
              </w:rPr>
              <w:t>Rel-19 Type-I SP codebook refinement for 48, 64, and 128 CSI-RS ports, the inter-pol co-phase selection indicator row from the UCI parameter table for Scheme-B for RI=5-8 is amended as follows:</w:t>
            </w:r>
          </w:p>
          <w:p w:rsidR="00D6117B" w:rsidRPr="000F5946" w:rsidRDefault="00D6117B" w:rsidP="00D6117B">
            <w:pPr>
              <w:snapToGrid w:val="0"/>
              <w:rPr>
                <w:b/>
                <w:sz w:val="20"/>
                <w:szCs w:val="20"/>
              </w:rPr>
            </w:pPr>
            <w:r w:rsidRPr="000F5946">
              <w:rPr>
                <w:b/>
                <w:sz w:val="20"/>
                <w:szCs w:val="20"/>
              </w:rPr>
              <w:t>Scheme-B</w:t>
            </w:r>
          </w:p>
          <w:tbl>
            <w:tblPr>
              <w:tblW w:w="6726" w:type="dxa"/>
              <w:tblCellMar>
                <w:left w:w="0" w:type="dxa"/>
                <w:right w:w="0" w:type="dxa"/>
              </w:tblCellMar>
              <w:tblLook w:val="04A0" w:firstRow="1" w:lastRow="0" w:firstColumn="1" w:lastColumn="0" w:noHBand="0" w:noVBand="1"/>
            </w:tblPr>
            <w:tblGrid>
              <w:gridCol w:w="1637"/>
              <w:gridCol w:w="1051"/>
              <w:gridCol w:w="4038"/>
            </w:tblGrid>
            <w:tr w:rsidR="00D6117B" w:rsidRPr="000F5946" w:rsidTr="00831FE6">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D6117B" w:rsidRPr="000F5946" w:rsidRDefault="00D6117B" w:rsidP="00D6117B">
                  <w:pPr>
                    <w:snapToGrid w:val="0"/>
                    <w:rPr>
                      <w:sz w:val="20"/>
                      <w:szCs w:val="20"/>
                    </w:rPr>
                  </w:pPr>
                  <w:r w:rsidRPr="000F5946">
                    <w:rPr>
                      <w:sz w:val="20"/>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D6117B" w:rsidRPr="000F5946" w:rsidRDefault="00D6117B" w:rsidP="00D6117B">
                  <w:pPr>
                    <w:snapToGrid w:val="0"/>
                    <w:rPr>
                      <w:sz w:val="20"/>
                      <w:szCs w:val="20"/>
                    </w:rPr>
                  </w:pPr>
                  <w:r w:rsidRPr="000F5946">
                    <w:rPr>
                      <w:sz w:val="20"/>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D6117B" w:rsidRPr="000F5946" w:rsidRDefault="00D6117B" w:rsidP="00D6117B">
                  <w:pPr>
                    <w:snapToGrid w:val="0"/>
                    <w:rPr>
                      <w:sz w:val="20"/>
                      <w:szCs w:val="20"/>
                    </w:rPr>
                  </w:pPr>
                  <w:r w:rsidRPr="000F5946">
                    <w:rPr>
                      <w:sz w:val="20"/>
                      <w:szCs w:val="20"/>
                    </w:rPr>
                    <w:t>Details/description</w:t>
                  </w:r>
                </w:p>
              </w:tc>
            </w:tr>
            <w:tr w:rsidR="00D6117B" w:rsidRPr="000F5946" w:rsidTr="00831FE6">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6117B" w:rsidRPr="000F5946" w:rsidRDefault="00D6117B" w:rsidP="00D6117B">
                  <w:pPr>
                    <w:snapToGrid w:val="0"/>
                    <w:rPr>
                      <w:color w:val="000000"/>
                      <w:sz w:val="20"/>
                      <w:szCs w:val="20"/>
                    </w:rPr>
                  </w:pPr>
                  <w:r w:rsidRPr="000F5946">
                    <w:rPr>
                      <w:color w:val="000000"/>
                      <w:sz w:val="2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D6117B" w:rsidRPr="000F5946" w:rsidRDefault="00D6117B" w:rsidP="00D6117B">
                  <w:pPr>
                    <w:snapToGrid w:val="0"/>
                    <w:rPr>
                      <w:color w:val="000000"/>
                      <w:sz w:val="20"/>
                      <w:szCs w:val="20"/>
                    </w:rPr>
                  </w:pPr>
                  <w:r w:rsidRPr="000F5946">
                    <w:rPr>
                      <w:color w:val="000000"/>
                      <w:sz w:val="2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rsidR="00D6117B" w:rsidRPr="000F5946" w:rsidRDefault="00D6117B" w:rsidP="00D6117B">
                  <w:pPr>
                    <w:snapToGrid w:val="0"/>
                    <w:rPr>
                      <w:color w:val="000000"/>
                      <w:sz w:val="20"/>
                      <w:szCs w:val="20"/>
                    </w:rPr>
                  </w:pPr>
                  <w:r w:rsidRPr="000F5946">
                    <w:rPr>
                      <w:color w:val="000000"/>
                      <w:sz w:val="20"/>
                      <w:szCs w:val="20"/>
                    </w:rPr>
                    <w:t>…</w:t>
                  </w:r>
                </w:p>
              </w:tc>
            </w:tr>
            <w:tr w:rsidR="00D6117B" w:rsidRPr="000F5946" w:rsidTr="00831FE6">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6117B" w:rsidRPr="000F5946" w:rsidRDefault="00D6117B" w:rsidP="00D6117B">
                  <w:pPr>
                    <w:snapToGrid w:val="0"/>
                    <w:rPr>
                      <w:color w:val="000000"/>
                      <w:sz w:val="20"/>
                      <w:szCs w:val="20"/>
                    </w:rPr>
                  </w:pPr>
                  <w:r w:rsidRPr="000F5946">
                    <w:rPr>
                      <w:color w:val="000000"/>
                      <w:sz w:val="2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D6117B" w:rsidRPr="000F5946" w:rsidRDefault="00D6117B" w:rsidP="00D6117B">
                  <w:pPr>
                    <w:snapToGrid w:val="0"/>
                    <w:rPr>
                      <w:color w:val="000000"/>
                      <w:sz w:val="20"/>
                      <w:szCs w:val="20"/>
                    </w:rPr>
                  </w:pPr>
                  <w:r w:rsidRPr="000F5946">
                    <w:rPr>
                      <w:color w:val="000000"/>
                      <w:sz w:val="20"/>
                      <w:szCs w:val="20"/>
                    </w:rPr>
                    <w:t>Part 2</w:t>
                  </w:r>
                </w:p>
                <w:p w:rsidR="00D6117B" w:rsidRPr="000F5946" w:rsidRDefault="00D6117B" w:rsidP="00D6117B">
                  <w:pPr>
                    <w:snapToGrid w:val="0"/>
                    <w:rPr>
                      <w:color w:val="000000"/>
                      <w:sz w:val="20"/>
                      <w:szCs w:val="20"/>
                    </w:rPr>
                  </w:pPr>
                </w:p>
                <w:p w:rsidR="00D6117B" w:rsidRPr="000F5946" w:rsidRDefault="00D6117B" w:rsidP="00D6117B">
                  <w:pPr>
                    <w:snapToGrid w:val="0"/>
                    <w:rPr>
                      <w:color w:val="000000"/>
                      <w:sz w:val="20"/>
                      <w:szCs w:val="20"/>
                    </w:rPr>
                  </w:pPr>
                  <w:r w:rsidRPr="000F5946">
                    <w:rPr>
                      <w:color w:val="000000"/>
                      <w:sz w:val="20"/>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rsidR="00D6117B" w:rsidRPr="000F5946" w:rsidRDefault="00D6117B" w:rsidP="00D6117B">
                  <w:pPr>
                    <w:snapToGrid w:val="0"/>
                    <w:rPr>
                      <w:strike/>
                      <w:color w:val="FF0000"/>
                      <w:sz w:val="20"/>
                      <w:szCs w:val="20"/>
                    </w:rPr>
                  </w:pPr>
                  <w:r w:rsidRPr="000F5946">
                    <w:rPr>
                      <w:i/>
                      <w:strike/>
                      <w:color w:val="FF0000"/>
                      <w:sz w:val="20"/>
                      <w:szCs w:val="20"/>
                    </w:rPr>
                    <w:t>v</w:t>
                  </w:r>
                  <w:r w:rsidRPr="000F5946">
                    <w:rPr>
                      <w:strike/>
                      <w:color w:val="FF0000"/>
                      <w:sz w:val="20"/>
                      <w:szCs w:val="20"/>
                    </w:rPr>
                    <w:t xml:space="preserve">=5-8: QPSK: 2-bit indicator per layer group </w:t>
                  </w:r>
                  <w:r w:rsidRPr="000F5946">
                    <w:rPr>
                      <w:i/>
                      <w:strike/>
                      <w:color w:val="FF0000"/>
                      <w:sz w:val="20"/>
                      <w:szCs w:val="20"/>
                    </w:rPr>
                    <w:t>l=</w:t>
                  </w:r>
                  <w:r w:rsidRPr="000F5946">
                    <w:rPr>
                      <w:strike/>
                      <w:color w:val="FF0000"/>
                      <w:sz w:val="20"/>
                      <w:szCs w:val="20"/>
                    </w:rPr>
                    <w:t>1</w:t>
                  </w:r>
                  <w:r w:rsidRPr="000F5946">
                    <w:rPr>
                      <w:i/>
                      <w:strike/>
                      <w:color w:val="FF0000"/>
                      <w:sz w:val="20"/>
                      <w:szCs w:val="20"/>
                    </w:rPr>
                    <w:t xml:space="preserve">, …, </w:t>
                  </w:r>
                  <m:oMath>
                    <m:sSub>
                      <m:sSubPr>
                        <m:ctrlPr>
                          <w:rPr>
                            <w:rFonts w:ascii="Cambria Math" w:hAnsi="Cambria Math"/>
                            <w:i/>
                            <w:strike/>
                            <w:color w:val="FF0000"/>
                            <w:sz w:val="20"/>
                            <w:szCs w:val="20"/>
                          </w:rPr>
                        </m:ctrlPr>
                      </m:sSubPr>
                      <m:e>
                        <m:r>
                          <w:rPr>
                            <w:rFonts w:ascii="Cambria Math" w:hAnsi="Cambria Math"/>
                            <w:strike/>
                            <w:color w:val="FF0000"/>
                            <w:sz w:val="20"/>
                            <w:szCs w:val="20"/>
                          </w:rPr>
                          <m:t>L</m:t>
                        </m:r>
                      </m:e>
                      <m:sub>
                        <m:r>
                          <w:rPr>
                            <w:rFonts w:ascii="Cambria Math" w:hAnsi="Cambria Math"/>
                            <w:strike/>
                            <w:color w:val="FF0000"/>
                            <w:sz w:val="20"/>
                            <w:szCs w:val="20"/>
                          </w:rPr>
                          <m:t>G</m:t>
                        </m:r>
                      </m:sub>
                    </m:sSub>
                  </m:oMath>
                </w:p>
                <w:p w:rsidR="00D6117B" w:rsidRPr="000F5946" w:rsidRDefault="00D6117B" w:rsidP="00D6117B">
                  <w:pPr>
                    <w:snapToGrid w:val="0"/>
                    <w:rPr>
                      <w:color w:val="FF0000"/>
                      <w:sz w:val="20"/>
                      <w:szCs w:val="20"/>
                    </w:rPr>
                  </w:pPr>
                  <w:r w:rsidRPr="000F5946">
                    <w:rPr>
                      <w:i/>
                      <w:color w:val="FF0000"/>
                      <w:sz w:val="20"/>
                      <w:szCs w:val="20"/>
                    </w:rPr>
                    <w:t>v</w:t>
                  </w:r>
                  <w:r w:rsidRPr="000F5946">
                    <w:rPr>
                      <w:color w:val="FF0000"/>
                      <w:sz w:val="20"/>
                      <w:szCs w:val="20"/>
                    </w:rPr>
                    <w:t xml:space="preserve">=5, 7: QPSK: </w:t>
                  </w:r>
                </w:p>
                <w:p w:rsidR="00D6117B" w:rsidRPr="000F5946" w:rsidRDefault="00D6117B" w:rsidP="00D6117B">
                  <w:pPr>
                    <w:pStyle w:val="ListParagraph"/>
                    <w:numPr>
                      <w:ilvl w:val="0"/>
                      <w:numId w:val="722"/>
                    </w:numPr>
                    <w:snapToGrid w:val="0"/>
                    <w:ind w:leftChars="0" w:left="400" w:hanging="400"/>
                    <w:rPr>
                      <w:color w:val="FF0000"/>
                      <w:szCs w:val="20"/>
                    </w:rPr>
                  </w:pPr>
                  <w:r w:rsidRPr="000F5946">
                    <w:rPr>
                      <w:color w:val="FF0000"/>
                      <w:szCs w:val="20"/>
                      <w:lang w:eastAsia="zh-CN"/>
                    </w:rPr>
                    <w:t xml:space="preserve">For a layer group with 2 layers: 1-bit indicator {(1, -1), (j, -j)} </w:t>
                  </w:r>
                </w:p>
                <w:p w:rsidR="00D6117B" w:rsidRPr="000F5946" w:rsidRDefault="00D6117B" w:rsidP="00D6117B">
                  <w:pPr>
                    <w:pStyle w:val="ListParagraph"/>
                    <w:numPr>
                      <w:ilvl w:val="0"/>
                      <w:numId w:val="722"/>
                    </w:numPr>
                    <w:snapToGrid w:val="0"/>
                    <w:ind w:leftChars="0" w:left="400" w:hanging="400"/>
                    <w:rPr>
                      <w:color w:val="FF0000"/>
                      <w:szCs w:val="20"/>
                    </w:rPr>
                  </w:pPr>
                  <w:r w:rsidRPr="000F5946">
                    <w:rPr>
                      <w:color w:val="FF0000"/>
                      <w:szCs w:val="20"/>
                    </w:rPr>
                    <w:t xml:space="preserve">For a layer group with 1 orphan layer: </w:t>
                  </w:r>
                  <w:r w:rsidRPr="000F5946">
                    <w:rPr>
                      <w:color w:val="FF0000"/>
                      <w:szCs w:val="20"/>
                      <w:lang w:eastAsia="zh-CN"/>
                    </w:rPr>
                    <w:t>2-bit indicator {1, -1, j, -j}</w:t>
                  </w:r>
                </w:p>
                <w:p w:rsidR="00D6117B" w:rsidRPr="000F5946" w:rsidRDefault="00D6117B" w:rsidP="00D6117B">
                  <w:pPr>
                    <w:snapToGrid w:val="0"/>
                    <w:rPr>
                      <w:color w:val="FF0000"/>
                      <w:sz w:val="20"/>
                      <w:szCs w:val="20"/>
                    </w:rPr>
                  </w:pPr>
                  <w:r w:rsidRPr="000F5946">
                    <w:rPr>
                      <w:i/>
                      <w:color w:val="FF0000"/>
                      <w:sz w:val="20"/>
                      <w:szCs w:val="20"/>
                    </w:rPr>
                    <w:t>v</w:t>
                  </w:r>
                  <w:r w:rsidRPr="000F5946">
                    <w:rPr>
                      <w:color w:val="FF0000"/>
                      <w:sz w:val="20"/>
                      <w:szCs w:val="20"/>
                    </w:rPr>
                    <w:t>=6, 8: QPSK:</w:t>
                  </w:r>
                </w:p>
                <w:p w:rsidR="00D6117B" w:rsidRPr="000F5946" w:rsidRDefault="00D6117B" w:rsidP="00D6117B">
                  <w:pPr>
                    <w:pStyle w:val="ListParagraph"/>
                    <w:numPr>
                      <w:ilvl w:val="0"/>
                      <w:numId w:val="722"/>
                    </w:numPr>
                    <w:snapToGrid w:val="0"/>
                    <w:ind w:leftChars="0" w:left="400" w:hanging="400"/>
                    <w:rPr>
                      <w:i/>
                      <w:color w:val="FF0000"/>
                      <w:szCs w:val="20"/>
                    </w:rPr>
                  </w:pPr>
                  <w:r w:rsidRPr="000F5946">
                    <w:rPr>
                      <w:color w:val="FF0000"/>
                      <w:szCs w:val="20"/>
                      <w:lang w:eastAsia="zh-CN"/>
                    </w:rPr>
                    <w:t xml:space="preserve">1-bit indicator for each layer group {(1, -1), (j, -j)}  </w:t>
                  </w:r>
                </w:p>
                <w:p w:rsidR="00D6117B" w:rsidRPr="000F5946" w:rsidRDefault="00D6117B" w:rsidP="00D6117B">
                  <w:pPr>
                    <w:pStyle w:val="ListParagraph"/>
                    <w:snapToGrid w:val="0"/>
                    <w:ind w:left="1680"/>
                    <w:rPr>
                      <w:i/>
                      <w:szCs w:val="20"/>
                    </w:rPr>
                  </w:pPr>
                </w:p>
              </w:tc>
            </w:tr>
          </w:tbl>
          <w:p w:rsidR="00D6117B" w:rsidRPr="000F5946" w:rsidRDefault="00D6117B" w:rsidP="00D6117B">
            <w:pPr>
              <w:widowControl w:val="0"/>
              <w:snapToGrid w:val="0"/>
              <w:rPr>
                <w:iCs/>
                <w:sz w:val="20"/>
                <w:szCs w:val="20"/>
              </w:rPr>
            </w:pP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rPr>
                <w:rFonts w:eastAsia="SimSun" w:cs="Times"/>
                <w:sz w:val="20"/>
                <w:szCs w:val="20"/>
              </w:rPr>
            </w:pPr>
            <w:r w:rsidRPr="000F5946">
              <w:rPr>
                <w:rFonts w:eastAsia="SimSun" w:cs="Times"/>
                <w:sz w:val="20"/>
                <w:szCs w:val="20"/>
                <w:lang w:eastAsia="zh-TW"/>
              </w:rPr>
              <w:t xml:space="preserve">For the Rel-19 Type-I SP codebook refinement for P (the total number of aggregated ports)=48, 64, 128 CSI-RS ports, regarding timeline for the </w:t>
            </w:r>
            <w:r w:rsidRPr="000F5946">
              <w:rPr>
                <w:rFonts w:eastAsia="SimSun" w:cs="Times"/>
                <w:sz w:val="20"/>
                <w:szCs w:val="20"/>
              </w:rPr>
              <w:t xml:space="preserve">port subset indication for the SD NES Type-1, </w:t>
            </w:r>
          </w:p>
          <w:p w:rsidR="00D6117B" w:rsidRPr="000F5946" w:rsidRDefault="00D6117B" w:rsidP="00D6117B">
            <w:pPr>
              <w:numPr>
                <w:ilvl w:val="0"/>
                <w:numId w:val="725"/>
              </w:numPr>
              <w:snapToGrid w:val="0"/>
              <w:rPr>
                <w:iCs/>
                <w:sz w:val="20"/>
                <w:szCs w:val="20"/>
              </w:rPr>
            </w:pPr>
            <w:r w:rsidRPr="000F5946">
              <w:rPr>
                <w:bCs/>
                <w:iCs/>
                <w:sz w:val="20"/>
                <w:szCs w:val="20"/>
              </w:rPr>
              <w:t xml:space="preserve">Capability 1 timeline: Reuse legacy Z/Z’ values </w:t>
            </w:r>
            <w:r w:rsidRPr="000F5946">
              <w:rPr>
                <w:rFonts w:eastAsia="SimSun" w:cs="Times"/>
                <w:sz w:val="20"/>
                <w:szCs w:val="20"/>
                <w:lang w:eastAsia="zh-TW"/>
              </w:rPr>
              <w:t>(i.e., Z</w:t>
            </w:r>
            <w:r w:rsidRPr="000F5946">
              <w:rPr>
                <w:rFonts w:eastAsia="SimSun" w:cs="Times"/>
                <w:sz w:val="20"/>
                <w:szCs w:val="20"/>
                <w:vertAlign w:val="subscript"/>
                <w:lang w:eastAsia="zh-TW"/>
              </w:rPr>
              <w:t>2</w:t>
            </w:r>
            <w:r w:rsidRPr="000F5946">
              <w:rPr>
                <w:rFonts w:eastAsia="SimSun" w:cs="Times"/>
                <w:sz w:val="20"/>
                <w:szCs w:val="20"/>
                <w:lang w:eastAsia="zh-TW"/>
              </w:rPr>
              <w:t xml:space="preserve"> and Z’</w:t>
            </w:r>
            <w:r w:rsidRPr="000F5946">
              <w:rPr>
                <w:rFonts w:eastAsia="SimSun" w:cs="Times"/>
                <w:sz w:val="20"/>
                <w:szCs w:val="20"/>
                <w:vertAlign w:val="subscript"/>
                <w:lang w:eastAsia="zh-TW"/>
              </w:rPr>
              <w:t>2</w:t>
            </w:r>
            <w:r w:rsidRPr="000F5946">
              <w:rPr>
                <w:rFonts w:eastAsia="SimSun" w:cs="Times"/>
                <w:sz w:val="20"/>
                <w:szCs w:val="20"/>
                <w:lang w:eastAsia="zh-TW"/>
              </w:rPr>
              <w:t>)</w:t>
            </w:r>
          </w:p>
          <w:p w:rsidR="00D6117B" w:rsidRPr="000F5946" w:rsidRDefault="00D6117B" w:rsidP="00D6117B">
            <w:pPr>
              <w:numPr>
                <w:ilvl w:val="0"/>
                <w:numId w:val="725"/>
              </w:numPr>
              <w:snapToGrid w:val="0"/>
              <w:rPr>
                <w:iCs/>
                <w:sz w:val="20"/>
                <w:szCs w:val="20"/>
              </w:rPr>
            </w:pPr>
            <w:r w:rsidRPr="000F5946">
              <w:rPr>
                <w:bCs/>
                <w:iCs/>
                <w:sz w:val="20"/>
                <w:szCs w:val="20"/>
              </w:rPr>
              <w:t xml:space="preserve">Capability 2 timeline: </w:t>
            </w:r>
            <w:r w:rsidRPr="000F5946">
              <w:rPr>
                <w:iCs/>
                <w:sz w:val="20"/>
                <w:szCs w:val="20"/>
              </w:rPr>
              <w:t xml:space="preserve">Scale the legacy timeline Z/Z’ </w:t>
            </w:r>
            <w:r w:rsidRPr="000F5946">
              <w:rPr>
                <w:rFonts w:eastAsia="SimSun" w:cs="Times"/>
                <w:sz w:val="20"/>
                <w:szCs w:val="20"/>
                <w:lang w:eastAsia="zh-TW"/>
              </w:rPr>
              <w:t>(i.e., Z</w:t>
            </w:r>
            <w:r w:rsidRPr="000F5946">
              <w:rPr>
                <w:rFonts w:eastAsia="SimSun" w:cs="Times"/>
                <w:sz w:val="20"/>
                <w:szCs w:val="20"/>
                <w:vertAlign w:val="subscript"/>
                <w:lang w:eastAsia="zh-TW"/>
              </w:rPr>
              <w:t>2</w:t>
            </w:r>
            <w:r w:rsidRPr="000F5946">
              <w:rPr>
                <w:rFonts w:eastAsia="SimSun" w:cs="Times"/>
                <w:sz w:val="20"/>
                <w:szCs w:val="20"/>
                <w:lang w:eastAsia="zh-TW"/>
              </w:rPr>
              <w:t xml:space="preserve"> and Z’</w:t>
            </w:r>
            <w:r w:rsidRPr="000F5946">
              <w:rPr>
                <w:rFonts w:eastAsia="SimSun" w:cs="Times"/>
                <w:sz w:val="20"/>
                <w:szCs w:val="20"/>
                <w:vertAlign w:val="subscript"/>
                <w:lang w:eastAsia="zh-TW"/>
              </w:rPr>
              <w:t>2</w:t>
            </w:r>
            <w:r w:rsidRPr="000F5946">
              <w:rPr>
                <w:rFonts w:eastAsia="SimSun" w:cs="Times"/>
                <w:sz w:val="20"/>
                <w:szCs w:val="20"/>
                <w:lang w:eastAsia="zh-TW"/>
              </w:rPr>
              <w:t>)</w:t>
            </w:r>
            <w:r w:rsidRPr="000F5946">
              <w:rPr>
                <w:iCs/>
                <w:sz w:val="20"/>
                <w:szCs w:val="20"/>
              </w:rPr>
              <w:t xml:space="preserve"> by </w:t>
            </w:r>
            <m:oMath>
              <m:d>
                <m:dPr>
                  <m:begChr m:val="⌈"/>
                  <m:endChr m:val="⌉"/>
                  <m:ctrlPr>
                    <w:rPr>
                      <w:rFonts w:ascii="Cambria Math" w:hAnsi="Cambria Math"/>
                      <w:i/>
                      <w:iCs/>
                      <w:sz w:val="20"/>
                      <w:szCs w:val="20"/>
                    </w:rPr>
                  </m:ctrlPr>
                </m:dPr>
                <m:e>
                  <m:func>
                    <m:funcPr>
                      <m:ctrlPr>
                        <w:rPr>
                          <w:rFonts w:ascii="Cambria Math" w:eastAsia="SimSun" w:hAnsi="Cambria Math"/>
                          <w:sz w:val="20"/>
                          <w:szCs w:val="20"/>
                          <w:lang w:eastAsia="en-GB"/>
                        </w:rPr>
                      </m:ctrlPr>
                    </m:funcPr>
                    <m:fName>
                      <m:r>
                        <m:rPr>
                          <m:sty m:val="p"/>
                        </m:rPr>
                        <w:rPr>
                          <w:rFonts w:ascii="Cambria Math" w:eastAsia="SimSun" w:hAnsi="Cambria Math"/>
                          <w:sz w:val="20"/>
                          <w:szCs w:val="20"/>
                          <w:lang w:eastAsia="en-GB"/>
                        </w:rPr>
                        <m:t>max</m:t>
                      </m:r>
                    </m:fName>
                    <m:e>
                      <m:d>
                        <m:dPr>
                          <m:ctrlPr>
                            <w:rPr>
                              <w:rFonts w:ascii="Cambria Math" w:eastAsia="SimSun" w:hAnsi="Cambria Math"/>
                              <w:sz w:val="20"/>
                              <w:szCs w:val="20"/>
                              <w:lang w:eastAsia="en-GB"/>
                            </w:rPr>
                          </m:ctrlPr>
                        </m:dPr>
                        <m:e>
                          <m:nary>
                            <m:naryPr>
                              <m:chr m:val="∑"/>
                              <m:grow m:val="1"/>
                              <m:ctrlPr>
                                <w:rPr>
                                  <w:rFonts w:ascii="Cambria Math" w:eastAsia="SimSun" w:hAnsi="Cambria Math"/>
                                  <w:sz w:val="20"/>
                                  <w:szCs w:val="20"/>
                                  <w:lang w:eastAsia="en-GB"/>
                                </w:rPr>
                              </m:ctrlPr>
                            </m:naryPr>
                            <m:sub>
                              <m:r>
                                <m:rPr>
                                  <m:sty m:val="p"/>
                                </m:rPr>
                                <w:rPr>
                                  <w:rFonts w:ascii="Cambria Math" w:eastAsia="SimSun" w:hAnsi="Cambria Math"/>
                                  <w:sz w:val="20"/>
                                  <w:szCs w:val="20"/>
                                  <w:lang w:eastAsia="en-GB"/>
                                </w:rPr>
                                <m:t>i=1</m:t>
                              </m:r>
                            </m:sub>
                            <m:sup>
                              <m:r>
                                <m:rPr>
                                  <m:sty m:val="p"/>
                                </m:rPr>
                                <w:rPr>
                                  <w:rFonts w:ascii="Cambria Math" w:eastAsia="SimSun" w:hAnsi="Cambria Math"/>
                                  <w:sz w:val="20"/>
                                  <w:szCs w:val="20"/>
                                  <w:lang w:eastAsia="en-GB"/>
                                </w:rPr>
                                <m:t>M</m:t>
                              </m:r>
                            </m:sup>
                            <m:e>
                              <m:sSub>
                                <m:sSubPr>
                                  <m:ctrlPr>
                                    <w:rPr>
                                      <w:rFonts w:ascii="Cambria Math" w:eastAsia="SimSun" w:hAnsi="Cambria Math"/>
                                      <w:sz w:val="20"/>
                                      <w:szCs w:val="20"/>
                                    </w:rPr>
                                  </m:ctrlPr>
                                </m:sSubPr>
                                <m:e>
                                  <m:r>
                                    <m:rPr>
                                      <m:sty m:val="p"/>
                                    </m:rPr>
                                    <w:rPr>
                                      <w:rFonts w:ascii="Cambria Math" w:eastAsia="SimSun" w:hAnsi="Cambria Math"/>
                                      <w:sz w:val="20"/>
                                      <w:szCs w:val="20"/>
                                    </w:rPr>
                                    <m:t>P</m:t>
                                  </m:r>
                                </m:e>
                                <m:sub>
                                  <m:r>
                                    <m:rPr>
                                      <m:sty m:val="p"/>
                                    </m:rPr>
                                    <w:rPr>
                                      <w:rFonts w:ascii="Cambria Math" w:eastAsia="SimSun" w:hAnsi="Cambria Math"/>
                                      <w:sz w:val="20"/>
                                      <w:szCs w:val="20"/>
                                    </w:rPr>
                                    <m:t>i</m:t>
                                  </m:r>
                                </m:sub>
                              </m:sSub>
                            </m:e>
                          </m:nary>
                          <m:r>
                            <m:rPr>
                              <m:sty m:val="p"/>
                            </m:rPr>
                            <w:rPr>
                              <w:rFonts w:ascii="Cambria Math" w:eastAsia="SimSun" w:hAnsi="Cambria Math"/>
                              <w:sz w:val="20"/>
                              <w:szCs w:val="20"/>
                              <w:lang w:eastAsia="en-GB"/>
                            </w:rPr>
                            <m:t>, P</m:t>
                          </m:r>
                        </m:e>
                      </m:d>
                    </m:e>
                  </m:func>
                  <m:r>
                    <w:rPr>
                      <w:rFonts w:ascii="Cambria Math" w:eastAsia="SimSun" w:hAnsi="Cambria Math"/>
                      <w:sz w:val="20"/>
                      <w:szCs w:val="20"/>
                      <w:lang w:eastAsia="en-GB"/>
                    </w:rPr>
                    <m:t>/32</m:t>
                  </m:r>
                </m:e>
              </m:d>
            </m:oMath>
            <w:r w:rsidRPr="000F5946">
              <w:rPr>
                <w:rFonts w:hint="eastAsia"/>
                <w:iCs/>
                <w:sz w:val="20"/>
                <w:szCs w:val="20"/>
                <w:lang w:eastAsia="ko-KR"/>
              </w:rPr>
              <w:t xml:space="preserve"> </w:t>
            </w:r>
            <w:r w:rsidRPr="000F5946">
              <w:rPr>
                <w:iCs/>
                <w:sz w:val="20"/>
                <w:szCs w:val="20"/>
              </w:rPr>
              <w:t>where M is the number of sub-configurations that refer to the any of the K aggregated CSI-RS resources</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rPr>
                <w:rFonts w:eastAsia="SimSun" w:cs="Times"/>
                <w:sz w:val="20"/>
                <w:szCs w:val="20"/>
              </w:rPr>
            </w:pPr>
            <w:r w:rsidRPr="000F5946">
              <w:rPr>
                <w:rFonts w:eastAsia="SimSun" w:cs="Times"/>
                <w:sz w:val="20"/>
                <w:szCs w:val="20"/>
                <w:lang w:eastAsia="zh-TW"/>
              </w:rPr>
              <w:t xml:space="preserve">For the Rel-19 Type-I SP codebook refinement for P (the total number of aggregated ports)=48, 64, 128 CSI-RS ports, regarding active resource/port counting for the </w:t>
            </w:r>
            <w:r w:rsidRPr="000F5946">
              <w:rPr>
                <w:rFonts w:eastAsia="SimSun" w:cs="Times"/>
                <w:sz w:val="20"/>
                <w:szCs w:val="20"/>
              </w:rPr>
              <w:t xml:space="preserve">port subset indication for the SD NES Type-1, </w:t>
            </w:r>
          </w:p>
          <w:p w:rsidR="00D6117B" w:rsidRPr="000F5946" w:rsidRDefault="00D6117B" w:rsidP="00D6117B">
            <w:pPr>
              <w:numPr>
                <w:ilvl w:val="0"/>
                <w:numId w:val="725"/>
              </w:numPr>
              <w:snapToGrid w:val="0"/>
              <w:rPr>
                <w:iCs/>
                <w:sz w:val="20"/>
                <w:szCs w:val="20"/>
              </w:rPr>
            </w:pPr>
            <w:r w:rsidRPr="000F5946">
              <w:rPr>
                <w:bCs/>
                <w:iCs/>
                <w:sz w:val="20"/>
                <w:szCs w:val="20"/>
              </w:rPr>
              <w:t xml:space="preserve">active resource counting is </w:t>
            </w:r>
            <m:oMath>
              <m:r>
                <m:rPr>
                  <m:sty m:val="p"/>
                </m:rPr>
                <w:rPr>
                  <w:rFonts w:ascii="Cambria Math" w:hAnsi="Cambria Math"/>
                  <w:sz w:val="20"/>
                  <w:szCs w:val="20"/>
                </w:rPr>
                <m:t>M</m:t>
              </m:r>
            </m:oMath>
            <w:r w:rsidRPr="000F5946">
              <w:rPr>
                <w:iCs/>
                <w:sz w:val="20"/>
                <w:szCs w:val="20"/>
              </w:rPr>
              <w:t>, where M is the number of sub-configurations that refer to the any of the K aggregated CSI-RS resources</w:t>
            </w:r>
          </w:p>
          <w:p w:rsidR="00D6117B" w:rsidRPr="000F5946" w:rsidRDefault="00D6117B" w:rsidP="00D6117B">
            <w:pPr>
              <w:numPr>
                <w:ilvl w:val="0"/>
                <w:numId w:val="725"/>
              </w:numPr>
              <w:snapToGrid w:val="0"/>
              <w:rPr>
                <w:rFonts w:eastAsia="SimSun" w:cs="Times"/>
                <w:sz w:val="20"/>
                <w:szCs w:val="20"/>
              </w:rPr>
            </w:pPr>
            <w:r w:rsidRPr="000F5946">
              <w:rPr>
                <w:rFonts w:eastAsia="SimSun" w:cs="Times"/>
                <w:sz w:val="20"/>
                <w:szCs w:val="20"/>
              </w:rPr>
              <w:t xml:space="preserve">active port counting is </w:t>
            </w:r>
            <m:oMath>
              <m:func>
                <m:funcPr>
                  <m:ctrlPr>
                    <w:rPr>
                      <w:rFonts w:ascii="Cambria Math" w:eastAsia="SimSun" w:hAnsi="Cambria Math"/>
                      <w:sz w:val="20"/>
                      <w:szCs w:val="20"/>
                      <w:lang w:eastAsia="en-GB"/>
                    </w:rPr>
                  </m:ctrlPr>
                </m:funcPr>
                <m:fName>
                  <m:r>
                    <m:rPr>
                      <m:sty m:val="p"/>
                    </m:rPr>
                    <w:rPr>
                      <w:rFonts w:ascii="Cambria Math" w:eastAsia="SimSun" w:hAnsi="Cambria Math"/>
                      <w:sz w:val="20"/>
                      <w:szCs w:val="20"/>
                      <w:lang w:eastAsia="en-GB"/>
                    </w:rPr>
                    <m:t>max</m:t>
                  </m:r>
                </m:fName>
                <m:e>
                  <m:d>
                    <m:dPr>
                      <m:ctrlPr>
                        <w:rPr>
                          <w:rFonts w:ascii="Cambria Math" w:eastAsia="SimSun" w:hAnsi="Cambria Math"/>
                          <w:sz w:val="20"/>
                          <w:szCs w:val="20"/>
                          <w:lang w:eastAsia="en-GB"/>
                        </w:rPr>
                      </m:ctrlPr>
                    </m:dPr>
                    <m:e>
                      <m:nary>
                        <m:naryPr>
                          <m:chr m:val="∑"/>
                          <m:grow m:val="1"/>
                          <m:ctrlPr>
                            <w:rPr>
                              <w:rFonts w:ascii="Cambria Math" w:eastAsia="SimSun" w:hAnsi="Cambria Math"/>
                              <w:sz w:val="20"/>
                              <w:szCs w:val="20"/>
                              <w:lang w:eastAsia="en-GB"/>
                            </w:rPr>
                          </m:ctrlPr>
                        </m:naryPr>
                        <m:sub>
                          <m:r>
                            <m:rPr>
                              <m:sty m:val="p"/>
                            </m:rPr>
                            <w:rPr>
                              <w:rFonts w:ascii="Cambria Math" w:eastAsia="SimSun" w:hAnsi="Cambria Math"/>
                              <w:sz w:val="20"/>
                              <w:szCs w:val="20"/>
                              <w:lang w:eastAsia="en-GB"/>
                            </w:rPr>
                            <m:t>i=1</m:t>
                          </m:r>
                        </m:sub>
                        <m:sup>
                          <m:r>
                            <m:rPr>
                              <m:sty m:val="p"/>
                            </m:rPr>
                            <w:rPr>
                              <w:rFonts w:ascii="Cambria Math" w:eastAsia="SimSun" w:hAnsi="Cambria Math"/>
                              <w:sz w:val="20"/>
                              <w:szCs w:val="20"/>
                              <w:lang w:eastAsia="en-GB"/>
                            </w:rPr>
                            <m:t>M</m:t>
                          </m:r>
                        </m:sup>
                        <m:e>
                          <m:sSub>
                            <m:sSubPr>
                              <m:ctrlPr>
                                <w:rPr>
                                  <w:rFonts w:ascii="Cambria Math" w:eastAsia="SimSun" w:hAnsi="Cambria Math"/>
                                  <w:sz w:val="20"/>
                                  <w:szCs w:val="20"/>
                                </w:rPr>
                              </m:ctrlPr>
                            </m:sSubPr>
                            <m:e>
                              <m:r>
                                <m:rPr>
                                  <m:sty m:val="p"/>
                                </m:rPr>
                                <w:rPr>
                                  <w:rFonts w:ascii="Cambria Math" w:eastAsia="SimSun" w:hAnsi="Cambria Math"/>
                                  <w:sz w:val="20"/>
                                  <w:szCs w:val="20"/>
                                </w:rPr>
                                <m:t>P</m:t>
                              </m:r>
                            </m:e>
                            <m:sub>
                              <m:r>
                                <m:rPr>
                                  <m:sty m:val="p"/>
                                </m:rPr>
                                <w:rPr>
                                  <w:rFonts w:ascii="Cambria Math" w:eastAsia="SimSun" w:hAnsi="Cambria Math"/>
                                  <w:sz w:val="20"/>
                                  <w:szCs w:val="20"/>
                                </w:rPr>
                                <m:t>i</m:t>
                              </m:r>
                            </m:sub>
                          </m:sSub>
                        </m:e>
                      </m:nary>
                      <m:r>
                        <m:rPr>
                          <m:sty m:val="p"/>
                        </m:rPr>
                        <w:rPr>
                          <w:rFonts w:ascii="Cambria Math" w:eastAsia="SimSun" w:hAnsi="Cambria Math"/>
                          <w:sz w:val="20"/>
                          <w:szCs w:val="20"/>
                          <w:lang w:eastAsia="en-GB"/>
                        </w:rPr>
                        <m:t>, P</m:t>
                      </m:r>
                    </m:e>
                  </m:d>
                </m:e>
              </m:func>
            </m:oMath>
            <w:r w:rsidRPr="000F5946">
              <w:rPr>
                <w:rFonts w:eastAsia="SimSun" w:cs="Times"/>
                <w:sz w:val="20"/>
                <w:szCs w:val="20"/>
                <w:lang w:eastAsia="en-GB"/>
              </w:rPr>
              <w:t>, where</w:t>
            </w:r>
            <w:r w:rsidRPr="000F5946">
              <w:rPr>
                <w:rFonts w:eastAsia="SimSun" w:cs="Times"/>
                <w:sz w:val="20"/>
                <w:szCs w:val="20"/>
              </w:rPr>
              <w:t xml:space="preserve"> </w:t>
            </w:r>
            <m:oMath>
              <m:sSub>
                <m:sSubPr>
                  <m:ctrlPr>
                    <w:rPr>
                      <w:rFonts w:ascii="Cambria Math" w:eastAsia="DengXian" w:hAnsi="Cambria Math"/>
                      <w:sz w:val="20"/>
                      <w:szCs w:val="20"/>
                      <w:lang w:val="zh-CN"/>
                    </w:rPr>
                  </m:ctrlPr>
                </m:sSubPr>
                <m:e>
                  <m:r>
                    <m:rPr>
                      <m:sty m:val="p"/>
                    </m:rPr>
                    <w:rPr>
                      <w:rFonts w:ascii="Cambria Math" w:eastAsia="DengXian" w:hAnsi="Cambria Math"/>
                      <w:sz w:val="20"/>
                      <w:szCs w:val="20"/>
                    </w:rPr>
                    <m:t>P</m:t>
                  </m:r>
                </m:e>
                <m:sub>
                  <m:r>
                    <m:rPr>
                      <m:sty m:val="p"/>
                    </m:rPr>
                    <w:rPr>
                      <w:rFonts w:ascii="Cambria Math" w:eastAsia="DengXian" w:hAnsi="Cambria Math"/>
                      <w:sz w:val="20"/>
                      <w:szCs w:val="20"/>
                    </w:rPr>
                    <m:t>i</m:t>
                  </m:r>
                </m:sub>
              </m:sSub>
            </m:oMath>
            <w:r w:rsidRPr="000F5946">
              <w:rPr>
                <w:rFonts w:eastAsia="DengXian"/>
                <w:sz w:val="20"/>
                <w:szCs w:val="20"/>
              </w:rPr>
              <w:t xml:space="preserve"> is the number of </w:t>
            </w:r>
            <w:r w:rsidRPr="000F5946">
              <w:rPr>
                <w:rFonts w:eastAsia="SimSun"/>
                <w:color w:val="000000"/>
                <w:sz w:val="20"/>
                <w:szCs w:val="20"/>
              </w:rPr>
              <w:t xml:space="preserve">CSI-RS ports in i-th sub-configuration derived from the corresponding antenna port subset indicator </w:t>
            </w:r>
            <w:r w:rsidRPr="000F5946">
              <w:rPr>
                <w:rFonts w:eastAsia="SimSun"/>
                <w:i/>
                <w:color w:val="000000"/>
                <w:sz w:val="20"/>
                <w:szCs w:val="20"/>
              </w:rPr>
              <w:t>portSubsetIndicator</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rPr>
                <w:sz w:val="20"/>
                <w:szCs w:val="20"/>
                <w:lang w:eastAsia="ko-KR"/>
              </w:rPr>
            </w:pPr>
            <w:r w:rsidRPr="000F5946">
              <w:rPr>
                <w:sz w:val="20"/>
                <w:szCs w:val="20"/>
              </w:rPr>
              <w:t xml:space="preserve">For the Rel-19 Type-I and Type-II codebook refinement for 48, 64, and 128 CSI-RS ports, when a </w:t>
            </w:r>
            <w:r w:rsidRPr="000F5946">
              <w:rPr>
                <w:sz w:val="20"/>
                <w:szCs w:val="20"/>
                <w:lang w:eastAsia="ko-KR"/>
              </w:rPr>
              <w:t xml:space="preserve">CSI-RS resource set for </w:t>
            </w:r>
            <w:r w:rsidRPr="000F5946">
              <w:rPr>
                <w:sz w:val="20"/>
                <w:szCs w:val="20"/>
              </w:rPr>
              <w:t>aggregating K NZP CSI-RS resources (to attain</w:t>
            </w:r>
            <w:r w:rsidRPr="000F5946">
              <w:rPr>
                <w:sz w:val="20"/>
                <w:szCs w:val="20"/>
                <w:lang w:eastAsia="ko-KR"/>
              </w:rPr>
              <w:t xml:space="preserve"> a total of 48, 64, and 128 ports) is configured </w:t>
            </w:r>
            <w:r w:rsidRPr="000F5946">
              <w:rPr>
                <w:sz w:val="20"/>
                <w:szCs w:val="20"/>
              </w:rPr>
              <w:t xml:space="preserve">as the associated NZP CSI-RS for each of the SRS resource set(s) with higher layer parameter usage in </w:t>
            </w:r>
            <w:r w:rsidRPr="000F5946">
              <w:rPr>
                <w:i/>
                <w:iCs/>
                <w:sz w:val="20"/>
                <w:szCs w:val="20"/>
              </w:rPr>
              <w:t>SRS-ResourceSet</w:t>
            </w:r>
            <w:r w:rsidRPr="000F5946">
              <w:rPr>
                <w:sz w:val="20"/>
                <w:szCs w:val="20"/>
              </w:rPr>
              <w:t xml:space="preserve"> set to ‘nonCodebook’, </w:t>
            </w:r>
            <w:r w:rsidRPr="000F5946">
              <w:rPr>
                <w:rFonts w:eastAsia="SimSun"/>
                <w:sz w:val="20"/>
                <w:szCs w:val="20"/>
              </w:rPr>
              <w:t xml:space="preserve">support to change the starting position of the time gap between CSI-RS and SRS from the last symbol of the reception of the aperiodic NZP-CSI-RS </w:t>
            </w:r>
            <w:r w:rsidRPr="000F5946">
              <w:rPr>
                <w:rFonts w:eastAsia="SimSun"/>
                <w:i/>
                <w:sz w:val="20"/>
                <w:szCs w:val="20"/>
              </w:rPr>
              <w:t>resource</w:t>
            </w:r>
            <w:r w:rsidRPr="000F5946">
              <w:rPr>
                <w:rFonts w:eastAsia="SimSun"/>
                <w:sz w:val="20"/>
                <w:szCs w:val="20"/>
              </w:rPr>
              <w:t xml:space="preserve"> to the last symbol of the reception of the aperiodic NZP-CSI-RS </w:t>
            </w:r>
            <w:r w:rsidRPr="000F5946">
              <w:rPr>
                <w:rFonts w:eastAsia="SimSun"/>
                <w:i/>
                <w:sz w:val="20"/>
                <w:szCs w:val="20"/>
              </w:rPr>
              <w:t>resource set</w:t>
            </w:r>
            <w:r w:rsidRPr="000F5946">
              <w:rPr>
                <w:rFonts w:eastAsia="SimSun"/>
                <w:sz w:val="20"/>
                <w:szCs w:val="20"/>
              </w:rPr>
              <w:t>.</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iCs/>
                <w:sz w:val="20"/>
                <w:szCs w:val="20"/>
              </w:rPr>
            </w:pPr>
            <w:r w:rsidRPr="000F5946">
              <w:rPr>
                <w:sz w:val="20"/>
                <w:szCs w:val="20"/>
              </w:rPr>
              <w:t xml:space="preserve">For the </w:t>
            </w:r>
            <w:r w:rsidRPr="000F5946">
              <w:rPr>
                <w:iCs/>
                <w:sz w:val="20"/>
                <w:szCs w:val="20"/>
              </w:rPr>
              <w:t>Rel-19 Type-I and Type-II codebook refinement for 48, 64, and 128 CSI-RS ports, except for that based on the Rel-18 Type-II Doppler, the following rule is supported:</w:t>
            </w:r>
          </w:p>
          <w:p w:rsidR="00D6117B" w:rsidRPr="000F5946" w:rsidRDefault="00D6117B" w:rsidP="00D6117B">
            <w:pPr>
              <w:pStyle w:val="ListParagraph"/>
              <w:numPr>
                <w:ilvl w:val="0"/>
                <w:numId w:val="1053"/>
              </w:numPr>
              <w:snapToGrid w:val="0"/>
              <w:ind w:leftChars="0" w:left="400" w:hanging="400"/>
              <w:rPr>
                <w:iCs/>
                <w:szCs w:val="20"/>
              </w:rPr>
            </w:pPr>
            <w:r w:rsidRPr="000F5946">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iCs/>
                <w:sz w:val="20"/>
                <w:szCs w:val="20"/>
              </w:rPr>
            </w:pPr>
            <w:r w:rsidRPr="000F5946">
              <w:rPr>
                <w:sz w:val="20"/>
                <w:szCs w:val="20"/>
              </w:rPr>
              <w:t xml:space="preserve">For the </w:t>
            </w:r>
            <w:r w:rsidRPr="000F5946">
              <w:rPr>
                <w:iCs/>
                <w:sz w:val="20"/>
                <w:szCs w:val="20"/>
              </w:rPr>
              <w:t xml:space="preserve">Rel-19 Type-II codebook refinement for 48, 64, and 128 CSI-RS ports based on </w:t>
            </w:r>
            <w:r w:rsidRPr="000F5946">
              <w:rPr>
                <w:i/>
                <w:iCs/>
                <w:sz w:val="20"/>
                <w:szCs w:val="20"/>
              </w:rPr>
              <w:t>the Rel-18 Type-II Doppler</w:t>
            </w:r>
            <w:r w:rsidRPr="000F5946">
              <w:rPr>
                <w:iCs/>
                <w:sz w:val="20"/>
                <w:szCs w:val="20"/>
              </w:rPr>
              <w:t>, the following rule is supported:</w:t>
            </w:r>
          </w:p>
          <w:p w:rsidR="00D6117B" w:rsidRPr="000F5946" w:rsidRDefault="00D6117B" w:rsidP="00D6117B">
            <w:pPr>
              <w:pStyle w:val="ListParagraph"/>
              <w:numPr>
                <w:ilvl w:val="0"/>
                <w:numId w:val="1053"/>
              </w:numPr>
              <w:snapToGrid w:val="0"/>
              <w:ind w:leftChars="0" w:left="400" w:hanging="400"/>
              <w:rPr>
                <w:iCs/>
                <w:szCs w:val="20"/>
              </w:rPr>
            </w:pPr>
            <w:r w:rsidRPr="000F5946">
              <w:rPr>
                <w:iCs/>
                <w:szCs w:val="20"/>
              </w:rPr>
              <w:lastRenderedPageBreak/>
              <w:t xml:space="preserve">After the CSI report (re)configuration, serving cell activation, BWP change, or activation of SP-CSI, the UE reports a CSI report only after receiving </w:t>
            </w:r>
            <w:r w:rsidRPr="000F5946">
              <w:rPr>
                <w:i/>
                <w:iCs/>
                <w:szCs w:val="20"/>
              </w:rPr>
              <w:t>at least one aperiodic or K</w:t>
            </w:r>
            <w:r w:rsidRPr="000F5946">
              <w:rPr>
                <w:i/>
                <w:iCs/>
                <w:szCs w:val="20"/>
                <w:vertAlign w:val="subscript"/>
              </w:rPr>
              <w:t>P</w:t>
            </w:r>
            <w:r w:rsidRPr="000F5946">
              <w:rPr>
                <w:i/>
                <w:iCs/>
                <w:szCs w:val="20"/>
              </w:rPr>
              <w:t xml:space="preserve"> consecutive periodic/semi-persistent CSI-RS transmission occasion(s) for each of the CSI-RS resources in each CSI-RS resource group </w:t>
            </w:r>
            <w:r w:rsidRPr="000F5946">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sz w:val="20"/>
                <w:szCs w:val="20"/>
              </w:rPr>
            </w:pPr>
            <w:r w:rsidRPr="000F5946">
              <w:rPr>
                <w:sz w:val="20"/>
                <w:szCs w:val="20"/>
              </w:rPr>
              <w:t xml:space="preserve">For the Rel-19 CRI-based CSI refinement for up to 128 CSI-RS ports, </w:t>
            </w:r>
            <w:r w:rsidRPr="000F5946">
              <w:rPr>
                <w:rFonts w:eastAsia="Malgun Gothic" w:cs="Times"/>
                <w:sz w:val="20"/>
                <w:szCs w:val="20"/>
              </w:rPr>
              <w:t>regarding priority 0 (G0)/wideband in CSI part 2, the UCI packing order is as follows:</w:t>
            </w:r>
          </w:p>
          <w:p w:rsidR="00D6117B" w:rsidRPr="000F5946" w:rsidRDefault="00D6117B" w:rsidP="00D6117B">
            <w:pPr>
              <w:pStyle w:val="ListParagraph"/>
              <w:numPr>
                <w:ilvl w:val="0"/>
                <w:numId w:val="722"/>
              </w:numPr>
              <w:snapToGrid w:val="0"/>
              <w:ind w:leftChars="0" w:left="400" w:hanging="400"/>
              <w:rPr>
                <w:rFonts w:eastAsia="Malgun Gothic"/>
                <w:szCs w:val="20"/>
              </w:rPr>
            </w:pPr>
            <w:r w:rsidRPr="000F5946">
              <w:rPr>
                <w:rFonts w:eastAsia="Malgun Gothic"/>
                <w:szCs w:val="20"/>
              </w:rPr>
              <w:t>The G0</w:t>
            </w:r>
            <w:r w:rsidRPr="000F5946">
              <w:rPr>
                <w:rFonts w:eastAsia="Malgun Gothic" w:cs="Times"/>
                <w:szCs w:val="20"/>
              </w:rPr>
              <w:t>/wideband</w:t>
            </w:r>
            <w:r w:rsidRPr="000F5946">
              <w:rPr>
                <w:rFonts w:eastAsia="Malgun Gothic"/>
                <w:szCs w:val="20"/>
              </w:rPr>
              <w:t xml:space="preserve"> for the 1</w:t>
            </w:r>
            <w:r w:rsidRPr="000F5946">
              <w:rPr>
                <w:rFonts w:eastAsia="Malgun Gothic"/>
                <w:szCs w:val="20"/>
                <w:vertAlign w:val="superscript"/>
              </w:rPr>
              <w:t>st</w:t>
            </w:r>
            <w:r w:rsidRPr="000F5946">
              <w:rPr>
                <w:rFonts w:eastAsia="Malgun Gothic"/>
                <w:szCs w:val="20"/>
              </w:rPr>
              <w:t xml:space="preserve"> configured CMR among the non-reported M</w:t>
            </w:r>
            <w:r w:rsidRPr="000F5946">
              <w:rPr>
                <w:rFonts w:eastAsia="Malgun Gothic"/>
                <w:szCs w:val="20"/>
                <w:vertAlign w:val="subscript"/>
              </w:rPr>
              <w:t>R</w:t>
            </w:r>
            <w:r w:rsidRPr="000F5946">
              <w:rPr>
                <w:rFonts w:eastAsia="Malgun Gothic"/>
                <w:szCs w:val="20"/>
              </w:rPr>
              <w:t xml:space="preserve"> CRIs;</w:t>
            </w:r>
          </w:p>
          <w:p w:rsidR="00D6117B" w:rsidRPr="000F5946" w:rsidRDefault="00D6117B" w:rsidP="00D6117B">
            <w:pPr>
              <w:pStyle w:val="ListParagraph"/>
              <w:numPr>
                <w:ilvl w:val="0"/>
                <w:numId w:val="722"/>
              </w:numPr>
              <w:snapToGrid w:val="0"/>
              <w:ind w:leftChars="0" w:left="400" w:hanging="400"/>
              <w:rPr>
                <w:rFonts w:eastAsia="Malgun Gothic"/>
                <w:szCs w:val="20"/>
              </w:rPr>
            </w:pPr>
            <w:r w:rsidRPr="000F5946">
              <w:rPr>
                <w:rFonts w:eastAsia="Malgun Gothic"/>
                <w:szCs w:val="20"/>
              </w:rPr>
              <w:t>…</w:t>
            </w:r>
          </w:p>
          <w:p w:rsidR="00D6117B" w:rsidRPr="000F5946" w:rsidRDefault="00D6117B" w:rsidP="00D6117B">
            <w:pPr>
              <w:pStyle w:val="ListParagraph"/>
              <w:numPr>
                <w:ilvl w:val="0"/>
                <w:numId w:val="722"/>
              </w:numPr>
              <w:snapToGrid w:val="0"/>
              <w:ind w:leftChars="0" w:left="400" w:hanging="400"/>
              <w:rPr>
                <w:rFonts w:eastAsia="Malgun Gothic"/>
                <w:szCs w:val="20"/>
              </w:rPr>
            </w:pPr>
            <w:r w:rsidRPr="000F5946">
              <w:rPr>
                <w:rFonts w:eastAsia="Malgun Gothic"/>
                <w:szCs w:val="20"/>
              </w:rPr>
              <w:t>The G0</w:t>
            </w:r>
            <w:r w:rsidRPr="000F5946">
              <w:rPr>
                <w:rFonts w:eastAsia="Malgun Gothic" w:cs="Times"/>
                <w:szCs w:val="20"/>
              </w:rPr>
              <w:t>/wideband</w:t>
            </w:r>
            <w:r w:rsidRPr="000F5946">
              <w:rPr>
                <w:rFonts w:eastAsia="Malgun Gothic"/>
                <w:szCs w:val="20"/>
              </w:rPr>
              <w:t xml:space="preserve"> for the last configured CMR among the non-reported M</w:t>
            </w:r>
            <w:r w:rsidRPr="000F5946">
              <w:rPr>
                <w:rFonts w:eastAsia="Malgun Gothic"/>
                <w:szCs w:val="20"/>
                <w:vertAlign w:val="subscript"/>
              </w:rPr>
              <w:t>R</w:t>
            </w:r>
            <w:r w:rsidRPr="000F5946">
              <w:rPr>
                <w:rFonts w:eastAsia="Malgun Gothic"/>
                <w:szCs w:val="20"/>
              </w:rPr>
              <w:t xml:space="preserve"> CRIs;</w:t>
            </w:r>
          </w:p>
          <w:p w:rsidR="00D6117B" w:rsidRPr="000F5946" w:rsidRDefault="00D6117B" w:rsidP="00D6117B">
            <w:pPr>
              <w:pStyle w:val="ListParagraph"/>
              <w:numPr>
                <w:ilvl w:val="0"/>
                <w:numId w:val="722"/>
              </w:numPr>
              <w:snapToGrid w:val="0"/>
              <w:ind w:leftChars="0" w:left="400" w:hanging="400"/>
              <w:rPr>
                <w:rFonts w:eastAsia="Malgun Gothic"/>
                <w:szCs w:val="20"/>
              </w:rPr>
            </w:pPr>
            <w:r w:rsidRPr="000F5946">
              <w:rPr>
                <w:rFonts w:eastAsia="Malgun Gothic"/>
                <w:szCs w:val="20"/>
              </w:rPr>
              <w:t>The G0</w:t>
            </w:r>
            <w:r w:rsidRPr="000F5946">
              <w:rPr>
                <w:rFonts w:eastAsia="Malgun Gothic" w:cs="Times"/>
                <w:szCs w:val="20"/>
              </w:rPr>
              <w:t>/wideband</w:t>
            </w:r>
            <w:r w:rsidRPr="000F5946">
              <w:rPr>
                <w:rFonts w:eastAsia="Malgun Gothic"/>
                <w:szCs w:val="20"/>
              </w:rPr>
              <w:t xml:space="preserve"> for the 1</w:t>
            </w:r>
            <w:r w:rsidRPr="000F5946">
              <w:rPr>
                <w:rFonts w:eastAsia="Malgun Gothic"/>
                <w:szCs w:val="20"/>
                <w:vertAlign w:val="superscript"/>
              </w:rPr>
              <w:t>st</w:t>
            </w:r>
            <w:r w:rsidRPr="000F5946">
              <w:rPr>
                <w:rFonts w:eastAsia="Malgun Gothic"/>
                <w:szCs w:val="20"/>
              </w:rPr>
              <w:t xml:space="preserve"> reported CRI;</w:t>
            </w:r>
          </w:p>
          <w:p w:rsidR="00D6117B" w:rsidRPr="000F5946" w:rsidRDefault="00D6117B" w:rsidP="00D6117B">
            <w:pPr>
              <w:pStyle w:val="ListParagraph"/>
              <w:numPr>
                <w:ilvl w:val="0"/>
                <w:numId w:val="722"/>
              </w:numPr>
              <w:snapToGrid w:val="0"/>
              <w:ind w:leftChars="0" w:left="400" w:hanging="400"/>
              <w:rPr>
                <w:rFonts w:eastAsia="Malgun Gothic"/>
                <w:szCs w:val="20"/>
              </w:rPr>
            </w:pPr>
            <w:r w:rsidRPr="000F5946">
              <w:rPr>
                <w:rFonts w:eastAsia="Malgun Gothic"/>
                <w:szCs w:val="20"/>
              </w:rPr>
              <w:t>…</w:t>
            </w:r>
          </w:p>
          <w:p w:rsidR="00D6117B" w:rsidRPr="000F5946" w:rsidRDefault="00D6117B" w:rsidP="00D6117B">
            <w:pPr>
              <w:pStyle w:val="ListParagraph"/>
              <w:numPr>
                <w:ilvl w:val="0"/>
                <w:numId w:val="722"/>
              </w:numPr>
              <w:snapToGrid w:val="0"/>
              <w:ind w:leftChars="0" w:left="400" w:hanging="400"/>
              <w:rPr>
                <w:rFonts w:eastAsia="Malgun Gothic"/>
                <w:szCs w:val="20"/>
              </w:rPr>
            </w:pPr>
            <w:r w:rsidRPr="000F5946">
              <w:rPr>
                <w:rFonts w:eastAsia="Malgun Gothic"/>
                <w:szCs w:val="20"/>
              </w:rPr>
              <w:t>The G0</w:t>
            </w:r>
            <w:r w:rsidRPr="000F5946">
              <w:rPr>
                <w:rFonts w:eastAsia="Malgun Gothic" w:cs="Times"/>
                <w:szCs w:val="20"/>
              </w:rPr>
              <w:t>/wideband</w:t>
            </w:r>
            <w:r w:rsidRPr="000F5946">
              <w:rPr>
                <w:rFonts w:eastAsia="Malgun Gothic"/>
                <w:szCs w:val="20"/>
              </w:rPr>
              <w:t xml:space="preserve"> for the (M- M</w:t>
            </w:r>
            <w:r w:rsidRPr="000F5946">
              <w:rPr>
                <w:rFonts w:eastAsia="Malgun Gothic"/>
                <w:szCs w:val="20"/>
                <w:vertAlign w:val="subscript"/>
              </w:rPr>
              <w:t>R</w:t>
            </w:r>
            <w:r w:rsidRPr="000F5946">
              <w:rPr>
                <w:rFonts w:eastAsia="Malgun Gothic"/>
                <w:szCs w:val="20"/>
              </w:rPr>
              <w:t>)-th reported CRI;</w:t>
            </w:r>
          </w:p>
          <w:p w:rsidR="00D6117B" w:rsidRPr="000F5946" w:rsidRDefault="00D6117B" w:rsidP="00D6117B">
            <w:pPr>
              <w:snapToGrid w:val="0"/>
              <w:rPr>
                <w:rFonts w:eastAsia="Malgun Gothic"/>
                <w:sz w:val="20"/>
                <w:szCs w:val="20"/>
              </w:rPr>
            </w:pPr>
            <w:r w:rsidRPr="000F5946">
              <w:rPr>
                <w:rFonts w:eastAsia="Malgun Gothic"/>
                <w:sz w:val="20"/>
                <w:szCs w:val="20"/>
              </w:rPr>
              <w:t>The entire G0</w:t>
            </w:r>
            <w:r w:rsidRPr="000F5946">
              <w:rPr>
                <w:rFonts w:eastAsia="Malgun Gothic" w:cs="Times"/>
                <w:sz w:val="20"/>
                <w:szCs w:val="20"/>
              </w:rPr>
              <w:t>/wideband</w:t>
            </w:r>
            <w:r w:rsidRPr="000F5946">
              <w:rPr>
                <w:rFonts w:eastAsia="Malgun Gothic"/>
                <w:sz w:val="20"/>
                <w:szCs w:val="20"/>
              </w:rPr>
              <w:t xml:space="preserve"> is either reported or dropped entirely, following the legacy principle.</w:t>
            </w:r>
          </w:p>
          <w:p w:rsidR="00D6117B" w:rsidRPr="000F5946" w:rsidRDefault="00D6117B" w:rsidP="00D6117B">
            <w:pPr>
              <w:snapToGrid w:val="0"/>
              <w:rPr>
                <w:rFonts w:eastAsia="Malgun Gothic"/>
                <w:sz w:val="20"/>
                <w:szCs w:val="20"/>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sz w:val="20"/>
                <w:szCs w:val="20"/>
              </w:rPr>
            </w:pPr>
            <w:r w:rsidRPr="000F5946">
              <w:rPr>
                <w:sz w:val="20"/>
                <w:szCs w:val="20"/>
              </w:rPr>
              <w:t xml:space="preserve">For the Rel-19 CRI-based CSI refinement for up to 128 CSI-RS ports, </w:t>
            </w:r>
            <w:r w:rsidRPr="000F5946">
              <w:rPr>
                <w:rFonts w:eastAsia="Malgun Gothic" w:cs="Times"/>
                <w:sz w:val="20"/>
                <w:szCs w:val="20"/>
              </w:rPr>
              <w:t>regarding one-part CSI wideband CQI/PMI reporting, the UCI packing order is as follows:</w:t>
            </w:r>
          </w:p>
          <w:p w:rsidR="00D6117B" w:rsidRPr="000F5946" w:rsidRDefault="00D6117B" w:rsidP="00D6117B">
            <w:pPr>
              <w:pStyle w:val="ListParagraph"/>
              <w:numPr>
                <w:ilvl w:val="0"/>
                <w:numId w:val="722"/>
              </w:numPr>
              <w:snapToGrid w:val="0"/>
              <w:ind w:leftChars="0" w:left="400" w:hanging="400"/>
              <w:rPr>
                <w:rFonts w:eastAsia="Malgun Gothic"/>
                <w:szCs w:val="20"/>
              </w:rPr>
            </w:pPr>
            <w:r w:rsidRPr="000F5946">
              <w:rPr>
                <w:rFonts w:eastAsia="Malgun Gothic"/>
                <w:szCs w:val="20"/>
              </w:rPr>
              <w:t xml:space="preserve">The </w:t>
            </w:r>
            <w:r w:rsidRPr="000F5946">
              <w:rPr>
                <w:rFonts w:eastAsia="Malgun Gothic" w:cs="Times"/>
                <w:szCs w:val="20"/>
              </w:rPr>
              <w:t xml:space="preserve">wideband CSI </w:t>
            </w:r>
            <w:r w:rsidRPr="000F5946">
              <w:rPr>
                <w:rFonts w:eastAsia="Malgun Gothic"/>
                <w:szCs w:val="20"/>
              </w:rPr>
              <w:t>for the 1</w:t>
            </w:r>
            <w:r w:rsidRPr="000F5946">
              <w:rPr>
                <w:rFonts w:eastAsia="Malgun Gothic"/>
                <w:szCs w:val="20"/>
                <w:vertAlign w:val="superscript"/>
              </w:rPr>
              <w:t>st</w:t>
            </w:r>
            <w:r w:rsidRPr="000F5946">
              <w:rPr>
                <w:rFonts w:eastAsia="Malgun Gothic"/>
                <w:szCs w:val="20"/>
              </w:rPr>
              <w:t xml:space="preserve"> reported CRI;</w:t>
            </w:r>
          </w:p>
          <w:p w:rsidR="00D6117B" w:rsidRPr="000F5946" w:rsidRDefault="00D6117B" w:rsidP="00D6117B">
            <w:pPr>
              <w:pStyle w:val="ListParagraph"/>
              <w:numPr>
                <w:ilvl w:val="0"/>
                <w:numId w:val="722"/>
              </w:numPr>
              <w:snapToGrid w:val="0"/>
              <w:ind w:leftChars="0" w:left="400" w:hanging="400"/>
              <w:rPr>
                <w:rFonts w:eastAsia="Malgun Gothic"/>
                <w:szCs w:val="20"/>
              </w:rPr>
            </w:pPr>
            <w:r w:rsidRPr="000F5946">
              <w:rPr>
                <w:rFonts w:eastAsia="Malgun Gothic"/>
                <w:szCs w:val="20"/>
              </w:rPr>
              <w:t>…</w:t>
            </w:r>
          </w:p>
          <w:p w:rsidR="00D6117B" w:rsidRPr="000F5946" w:rsidRDefault="00D6117B" w:rsidP="00D6117B">
            <w:pPr>
              <w:pStyle w:val="ListParagraph"/>
              <w:numPr>
                <w:ilvl w:val="0"/>
                <w:numId w:val="722"/>
              </w:numPr>
              <w:snapToGrid w:val="0"/>
              <w:ind w:leftChars="0" w:left="400" w:hanging="400"/>
              <w:rPr>
                <w:rFonts w:eastAsia="Malgun Gothic"/>
                <w:szCs w:val="20"/>
              </w:rPr>
            </w:pPr>
            <w:r w:rsidRPr="000F5946">
              <w:rPr>
                <w:rFonts w:eastAsia="Malgun Gothic"/>
                <w:szCs w:val="20"/>
              </w:rPr>
              <w:t xml:space="preserve">The </w:t>
            </w:r>
            <w:r w:rsidRPr="000F5946">
              <w:rPr>
                <w:rFonts w:eastAsia="Malgun Gothic" w:cs="Times"/>
                <w:szCs w:val="20"/>
              </w:rPr>
              <w:t xml:space="preserve">wideband CSI </w:t>
            </w:r>
            <w:r w:rsidRPr="000F5946">
              <w:rPr>
                <w:rFonts w:eastAsia="Malgun Gothic"/>
                <w:szCs w:val="20"/>
              </w:rPr>
              <w:t>for the M-th reported CRI;</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widowControl w:val="0"/>
              <w:snapToGrid w:val="0"/>
              <w:rPr>
                <w:b/>
                <w:iCs/>
                <w:sz w:val="20"/>
                <w:szCs w:val="20"/>
              </w:rPr>
            </w:pPr>
            <w:r w:rsidRPr="000F5946">
              <w:rPr>
                <w:sz w:val="20"/>
                <w:szCs w:val="20"/>
              </w:rPr>
              <w:t>For the Rel-19 CRI-based CSI refinement for up to 128 CSI-RS ports,</w:t>
            </w:r>
          </w:p>
          <w:p w:rsidR="00D6117B" w:rsidRPr="000F5946" w:rsidRDefault="00D6117B" w:rsidP="00D6117B">
            <w:pPr>
              <w:snapToGrid w:val="0"/>
              <w:rPr>
                <w:iCs/>
                <w:sz w:val="20"/>
                <w:szCs w:val="20"/>
              </w:rPr>
            </w:pPr>
            <w:r w:rsidRPr="000F5946">
              <w:rPr>
                <w:iCs/>
                <w:sz w:val="20"/>
                <w:szCs w:val="20"/>
              </w:rPr>
              <w:t xml:space="preserve">the following </w:t>
            </w:r>
            <w:r w:rsidRPr="000F5946">
              <w:rPr>
                <w:rFonts w:hint="eastAsia"/>
                <w:iCs/>
                <w:sz w:val="20"/>
                <w:szCs w:val="20"/>
              </w:rPr>
              <w:t xml:space="preserve">rule </w:t>
            </w:r>
            <w:r w:rsidRPr="000F5946">
              <w:rPr>
                <w:iCs/>
                <w:sz w:val="20"/>
                <w:szCs w:val="20"/>
              </w:rPr>
              <w:t>is supported:</w:t>
            </w:r>
          </w:p>
          <w:p w:rsidR="00D6117B" w:rsidRPr="000F5946" w:rsidRDefault="00D6117B" w:rsidP="00D6117B">
            <w:pPr>
              <w:pStyle w:val="ListParagraph"/>
              <w:numPr>
                <w:ilvl w:val="0"/>
                <w:numId w:val="1053"/>
              </w:numPr>
              <w:snapToGrid w:val="0"/>
              <w:ind w:leftChars="0" w:left="400" w:hanging="400"/>
              <w:rPr>
                <w:rFonts w:eastAsiaTheme="minorEastAsia"/>
                <w:iCs/>
                <w:szCs w:val="20"/>
              </w:rPr>
            </w:pPr>
            <w:r w:rsidRPr="000F5946">
              <w:rPr>
                <w:rFonts w:hint="eastAsia"/>
                <w:iCs/>
                <w:szCs w:val="20"/>
              </w:rPr>
              <w:t>A</w:t>
            </w:r>
            <w:r w:rsidRPr="000F5946">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sidRPr="000F5946">
              <w:rPr>
                <w:rFonts w:hint="eastAsia"/>
                <w:iCs/>
                <w:szCs w:val="20"/>
              </w:rPr>
              <w:t>r</w:t>
            </w:r>
            <w:r w:rsidRPr="000F5946">
              <w:rPr>
                <w:iCs/>
                <w:szCs w:val="20"/>
              </w:rPr>
              <w:t xml:space="preserve">esource </w:t>
            </w:r>
            <w:r w:rsidRPr="000F5946">
              <w:rPr>
                <w:rFonts w:hint="eastAsia"/>
                <w:iCs/>
                <w:szCs w:val="20"/>
              </w:rPr>
              <w:t>s</w:t>
            </w:r>
            <w:r w:rsidRPr="000F5946">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sidRPr="000F5946">
              <w:rPr>
                <w:rFonts w:hint="eastAsia"/>
                <w:iCs/>
                <w:szCs w:val="20"/>
              </w:rPr>
              <w:t>a</w:t>
            </w:r>
            <w:r w:rsidRPr="000F5946">
              <w:rPr>
                <w:iCs/>
                <w:szCs w:val="20"/>
              </w:rPr>
              <w:t xml:space="preserve">ctive </w:t>
            </w:r>
            <w:r w:rsidRPr="000F5946">
              <w:rPr>
                <w:rFonts w:hint="eastAsia"/>
                <w:iCs/>
                <w:szCs w:val="20"/>
              </w:rPr>
              <w:t>t</w:t>
            </w:r>
            <w:r w:rsidRPr="000F5946">
              <w:rPr>
                <w:iCs/>
                <w:szCs w:val="20"/>
              </w:rPr>
              <w:t>ime, when DRX is configured, and drops the report otherwise</w:t>
            </w:r>
            <w:r w:rsidRPr="000F5946">
              <w:rPr>
                <w:rFonts w:hint="eastAsia"/>
                <w:iCs/>
                <w:szCs w:val="20"/>
              </w:rPr>
              <w:t>.</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jc w:val="both"/>
              <w:rPr>
                <w:bCs/>
                <w:sz w:val="20"/>
                <w:szCs w:val="20"/>
              </w:rPr>
            </w:pPr>
            <w:r w:rsidRPr="000F5946">
              <w:rPr>
                <w:sz w:val="20"/>
                <w:szCs w:val="20"/>
              </w:rPr>
              <w:t>For the Rel-19 aperiodic standalone CJT calibration reporting, when ReportQuantity is ‘cjtc-P’ (DL/UL phase offset), the selection of P</w:t>
            </w:r>
            <w:r w:rsidRPr="000F5946">
              <w:rPr>
                <w:sz w:val="20"/>
                <w:szCs w:val="20"/>
                <w:vertAlign w:val="subscript"/>
              </w:rPr>
              <w:t>SRS</w:t>
            </w:r>
            <w:r w:rsidRPr="000F5946">
              <w:rPr>
                <w:sz w:val="20"/>
                <w:szCs w:val="20"/>
              </w:rPr>
              <w:t xml:space="preserve">=1 SRS port (corresponding to the ‘reference UE antenna port’) out of the y available SRS ports (from an xTyR SRS resource for antenna switching) </w:t>
            </w:r>
            <w:r w:rsidRPr="000F5946">
              <w:rPr>
                <w:rFonts w:hint="eastAsia"/>
                <w:sz w:val="20"/>
                <w:szCs w:val="20"/>
                <w:lang w:eastAsia="ko-KR"/>
              </w:rPr>
              <w:t>can be</w:t>
            </w:r>
            <w:r w:rsidRPr="000F5946">
              <w:rPr>
                <w:sz w:val="20"/>
                <w:szCs w:val="20"/>
              </w:rPr>
              <w:t xml:space="preserve"> configured per CSI reporting setting.</w:t>
            </w:r>
          </w:p>
          <w:p w:rsidR="00D6117B" w:rsidRPr="000F5946" w:rsidRDefault="00D6117B" w:rsidP="00D6117B">
            <w:pPr>
              <w:snapToGrid w:val="0"/>
              <w:jc w:val="both"/>
              <w:rPr>
                <w:bCs/>
                <w:sz w:val="20"/>
                <w:szCs w:val="20"/>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rFonts w:eastAsia="Malgun Gothic"/>
                <w:sz w:val="20"/>
                <w:szCs w:val="20"/>
              </w:rPr>
            </w:pPr>
            <w:r w:rsidRPr="000F5946">
              <w:rPr>
                <w:sz w:val="20"/>
                <w:szCs w:val="20"/>
              </w:rPr>
              <w:t xml:space="preserve">For the Rel-19 aperiodic standalone CJT calibration reporting, when ReportQuantity is ‘cjtc-P’ (DL/UL phase offset), </w:t>
            </w:r>
            <w:r w:rsidRPr="000F5946">
              <w:rPr>
                <w:rFonts w:eastAsia="Malgun Gothic"/>
                <w:sz w:val="20"/>
                <w:szCs w:val="20"/>
              </w:rPr>
              <w:t>regarding the configured associated SRS resource,</w:t>
            </w:r>
          </w:p>
          <w:p w:rsidR="00D6117B" w:rsidRPr="000F5946" w:rsidRDefault="00D6117B" w:rsidP="00D6117B">
            <w:pPr>
              <w:pStyle w:val="ListParagraph"/>
              <w:numPr>
                <w:ilvl w:val="0"/>
                <w:numId w:val="1054"/>
              </w:numPr>
              <w:snapToGrid w:val="0"/>
              <w:ind w:leftChars="0" w:left="400" w:hanging="400"/>
              <w:contextualSpacing/>
              <w:rPr>
                <w:rFonts w:eastAsia="Malgun Gothic"/>
                <w:szCs w:val="20"/>
              </w:rPr>
            </w:pPr>
            <w:r w:rsidRPr="000F5946">
              <w:rPr>
                <w:rFonts w:eastAsia="Malgun Gothic"/>
                <w:szCs w:val="20"/>
              </w:rPr>
              <w:t>Confirm the following working assumption as agreement: “the configured associated SRS resource can be either periodic, semi-persistent, or aperiodic”</w:t>
            </w:r>
          </w:p>
          <w:p w:rsidR="00D6117B" w:rsidRPr="000F5946" w:rsidRDefault="00D6117B" w:rsidP="00D6117B">
            <w:pPr>
              <w:numPr>
                <w:ilvl w:val="0"/>
                <w:numId w:val="1055"/>
              </w:numPr>
              <w:snapToGrid w:val="0"/>
              <w:contextualSpacing/>
              <w:rPr>
                <w:rFonts w:eastAsia="Malgun Gothic"/>
                <w:sz w:val="20"/>
                <w:szCs w:val="20"/>
              </w:rPr>
            </w:pPr>
            <w:r w:rsidRPr="000F5946">
              <w:rPr>
                <w:rFonts w:eastAsia="Malgun Gothic"/>
                <w:sz w:val="20"/>
                <w:szCs w:val="20"/>
              </w:rPr>
              <w:t>When periodic or semi-persistent associated SRS resource is configured, the SRS transmission occasion for determining the reference UE antenna port corresponds to the latest SRS transmission occasion before the occasions of the N</w:t>
            </w:r>
            <w:r w:rsidRPr="000F5946">
              <w:rPr>
                <w:rFonts w:eastAsia="Malgun Gothic"/>
                <w:sz w:val="20"/>
                <w:szCs w:val="20"/>
                <w:vertAlign w:val="subscript"/>
              </w:rPr>
              <w:t>TRP</w:t>
            </w:r>
            <w:r w:rsidRPr="000F5946">
              <w:rPr>
                <w:rFonts w:eastAsia="Malgun Gothic"/>
                <w:sz w:val="20"/>
                <w:szCs w:val="20"/>
              </w:rPr>
              <w:t xml:space="preserve"> CSI-RS resources used for measuring ‘cjtc-P’ report</w:t>
            </w:r>
          </w:p>
          <w:p w:rsidR="00D6117B" w:rsidRPr="000F5946" w:rsidRDefault="00D6117B" w:rsidP="00D6117B">
            <w:pPr>
              <w:numPr>
                <w:ilvl w:val="1"/>
                <w:numId w:val="1055"/>
              </w:numPr>
              <w:snapToGrid w:val="0"/>
              <w:contextualSpacing/>
              <w:rPr>
                <w:rFonts w:eastAsia="Malgun Gothic"/>
                <w:sz w:val="20"/>
                <w:szCs w:val="20"/>
              </w:rPr>
            </w:pPr>
            <w:r w:rsidRPr="000F5946">
              <w:rPr>
                <w:rFonts w:eastAsia="Malgun Gothic"/>
                <w:sz w:val="20"/>
                <w:szCs w:val="20"/>
              </w:rPr>
              <w:t>FFS: Whether ‘the earliest SRS transmission occasion after the N</w:t>
            </w:r>
            <w:r w:rsidRPr="000F5946">
              <w:rPr>
                <w:rFonts w:eastAsia="Malgun Gothic"/>
                <w:sz w:val="20"/>
                <w:szCs w:val="20"/>
                <w:vertAlign w:val="subscript"/>
              </w:rPr>
              <w:t>TRP</w:t>
            </w:r>
            <w:r w:rsidRPr="000F5946">
              <w:rPr>
                <w:rFonts w:eastAsia="Malgun Gothic"/>
                <w:sz w:val="20"/>
                <w:szCs w:val="20"/>
              </w:rPr>
              <w:t xml:space="preserve"> CSI-RS occasions’ is also supported as an option</w:t>
            </w:r>
          </w:p>
          <w:p w:rsidR="00D6117B" w:rsidRPr="000F5946" w:rsidRDefault="00D6117B" w:rsidP="00D6117B">
            <w:pPr>
              <w:numPr>
                <w:ilvl w:val="1"/>
                <w:numId w:val="1055"/>
              </w:numPr>
              <w:snapToGrid w:val="0"/>
              <w:contextualSpacing/>
              <w:rPr>
                <w:rFonts w:eastAsia="Malgun Gothic"/>
                <w:sz w:val="20"/>
                <w:szCs w:val="20"/>
              </w:rPr>
            </w:pPr>
            <w:r w:rsidRPr="000F5946">
              <w:rPr>
                <w:rFonts w:eastAsia="Malgun Gothic"/>
                <w:sz w:val="20"/>
                <w:szCs w:val="20"/>
              </w:rPr>
              <w:t>FFS: Whether determination of SRS transmission occasion is needed for aperiodic associated SRS resource, and if so, how</w:t>
            </w:r>
          </w:p>
          <w:p w:rsidR="00D6117B" w:rsidRPr="000F5946" w:rsidRDefault="00D6117B" w:rsidP="00D6117B">
            <w:pPr>
              <w:snapToGrid w:val="0"/>
              <w:jc w:val="both"/>
              <w:rPr>
                <w:bCs/>
                <w:sz w:val="20"/>
                <w:szCs w:val="20"/>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jc w:val="both"/>
              <w:rPr>
                <w:rFonts w:cs="Times"/>
                <w:sz w:val="20"/>
                <w:szCs w:val="20"/>
              </w:rPr>
            </w:pPr>
            <w:r w:rsidRPr="000F5946">
              <w:rPr>
                <w:rFonts w:eastAsia="Calibri"/>
                <w:sz w:val="20"/>
                <w:szCs w:val="20"/>
              </w:rPr>
              <w:t xml:space="preserve">For the Rel-19 aperiodic standalone CJT calibration (CJTC) reporting, </w:t>
            </w:r>
            <w:r w:rsidRPr="000F5946">
              <w:rPr>
                <w:rFonts w:cs="Times"/>
                <w:sz w:val="20"/>
                <w:szCs w:val="20"/>
              </w:rPr>
              <w:t xml:space="preserve">when linking CJTC Dd and Rel-18 eType-II CJT CSI reports is configured, confirm the following working assumptions as agreement with the following </w:t>
            </w:r>
            <w:r w:rsidRPr="000F5946">
              <w:rPr>
                <w:rFonts w:cs="Times"/>
                <w:color w:val="FF0000"/>
                <w:sz w:val="20"/>
                <w:szCs w:val="20"/>
              </w:rPr>
              <w:t>refinement</w:t>
            </w:r>
            <w:r w:rsidRPr="000F5946">
              <w:rPr>
                <w:rFonts w:cs="Times"/>
                <w:sz w:val="20"/>
                <w:szCs w:val="20"/>
              </w:rPr>
              <w:t>:</w:t>
            </w:r>
          </w:p>
          <w:p w:rsidR="00D6117B" w:rsidRPr="000F5946" w:rsidRDefault="00D6117B" w:rsidP="00D6117B">
            <w:pPr>
              <w:pStyle w:val="ListParagraph"/>
              <w:numPr>
                <w:ilvl w:val="0"/>
                <w:numId w:val="983"/>
              </w:numPr>
              <w:ind w:leftChars="0" w:left="400" w:hanging="400"/>
              <w:contextualSpacing/>
              <w:jc w:val="both"/>
              <w:rPr>
                <w:rFonts w:eastAsia="DengXian"/>
                <w:bCs/>
                <w:szCs w:val="20"/>
                <w:lang w:eastAsia="zh-CN"/>
              </w:rPr>
            </w:pPr>
            <w:r w:rsidRPr="000F5946">
              <w:rPr>
                <w:bCs/>
                <w:szCs w:val="20"/>
              </w:rPr>
              <w:t>When separately triggered, the delay offset value to be compensated is the latest reported delay offset (DO) whose reporting instance’s last symbol is before the first symbol of DCI triggering of the CJT CSI reporting</w:t>
            </w:r>
          </w:p>
          <w:p w:rsidR="00D6117B" w:rsidRPr="000F5946" w:rsidRDefault="00D6117B" w:rsidP="00D6117B">
            <w:pPr>
              <w:pStyle w:val="ListParagraph"/>
              <w:numPr>
                <w:ilvl w:val="0"/>
                <w:numId w:val="983"/>
              </w:numPr>
              <w:ind w:leftChars="0" w:left="400" w:hanging="400"/>
              <w:contextualSpacing/>
              <w:jc w:val="both"/>
              <w:rPr>
                <w:rFonts w:eastAsia="DengXian"/>
                <w:bCs/>
                <w:szCs w:val="20"/>
                <w:lang w:eastAsia="zh-CN"/>
              </w:rPr>
            </w:pPr>
            <w:r w:rsidRPr="000F5946">
              <w:rPr>
                <w:rFonts w:eastAsia="DengXian"/>
                <w:bCs/>
                <w:szCs w:val="20"/>
                <w:lang w:eastAsia="zh-CN"/>
              </w:rPr>
              <w:t xml:space="preserve">When </w:t>
            </w:r>
            <w:r w:rsidRPr="000F5946">
              <w:rPr>
                <w:bCs/>
                <w:szCs w:val="20"/>
              </w:rPr>
              <w:t>jointly triggered, the delay offset value to be compensated is the reported delay offset (DO) in the same reporting instance</w:t>
            </w:r>
          </w:p>
          <w:p w:rsidR="00D6117B" w:rsidRPr="000F5946" w:rsidRDefault="00D6117B" w:rsidP="00D6117B">
            <w:pPr>
              <w:jc w:val="both"/>
              <w:rPr>
                <w:rFonts w:eastAsia="DengXian"/>
                <w:bCs/>
                <w:color w:val="FF0000"/>
                <w:sz w:val="20"/>
                <w:szCs w:val="20"/>
              </w:rPr>
            </w:pPr>
            <w:r w:rsidRPr="000F5946">
              <w:rPr>
                <w:rFonts w:eastAsia="DengXian"/>
                <w:bCs/>
                <w:color w:val="FF0000"/>
                <w:sz w:val="20"/>
                <w:szCs w:val="20"/>
              </w:rPr>
              <w:t>FFS: Whether an additional UE procedure is needed when the reported DO value is ‘out of range’</w:t>
            </w:r>
          </w:p>
          <w:p w:rsidR="00D6117B" w:rsidRPr="000F5946" w:rsidRDefault="00D6117B" w:rsidP="00D6117B">
            <w:pPr>
              <w:jc w:val="both"/>
              <w:rPr>
                <w:bCs/>
                <w:color w:val="FF0000"/>
                <w:sz w:val="20"/>
                <w:szCs w:val="20"/>
                <w:lang w:eastAsia="ko-KR"/>
              </w:rPr>
            </w:pPr>
            <w:r w:rsidRPr="000F5946">
              <w:rPr>
                <w:rFonts w:eastAsia="DengXian"/>
                <w:bCs/>
                <w:color w:val="FF0000"/>
                <w:sz w:val="20"/>
                <w:szCs w:val="20"/>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jc w:val="both"/>
              <w:rPr>
                <w:rFonts w:cs="Times"/>
                <w:sz w:val="20"/>
                <w:szCs w:val="20"/>
              </w:rPr>
            </w:pPr>
            <w:r w:rsidRPr="000F5946">
              <w:rPr>
                <w:rFonts w:eastAsia="Calibri"/>
                <w:sz w:val="20"/>
                <w:szCs w:val="20"/>
              </w:rPr>
              <w:t xml:space="preserve">For the Rel-19 aperiodic standalone CJT calibration (CJTC) reporting, </w:t>
            </w:r>
            <w:r w:rsidRPr="000F5946">
              <w:rPr>
                <w:rFonts w:cs="Times"/>
                <w:sz w:val="20"/>
                <w:szCs w:val="20"/>
              </w:rPr>
              <w:t>when linking CJTC Dd and Rel-18 eType-II CJT CSI reports is configured, support at least AP-CSI-RS</w:t>
            </w:r>
            <w:r w:rsidRPr="000F5946">
              <w:rPr>
                <w:sz w:val="20"/>
                <w:szCs w:val="20"/>
              </w:rPr>
              <w:t xml:space="preserve"> </w:t>
            </w:r>
            <w:r w:rsidRPr="000F5946">
              <w:rPr>
                <w:rFonts w:cs="Times"/>
                <w:sz w:val="20"/>
                <w:szCs w:val="20"/>
              </w:rPr>
              <w:t>as the CMR for the Rel-18 eType-II CJT reporting</w:t>
            </w:r>
          </w:p>
          <w:p w:rsidR="00D6117B" w:rsidRPr="000F5946" w:rsidRDefault="00D6117B" w:rsidP="00D6117B">
            <w:pPr>
              <w:pStyle w:val="ListParagraph"/>
              <w:numPr>
                <w:ilvl w:val="0"/>
                <w:numId w:val="1056"/>
              </w:numPr>
              <w:ind w:leftChars="0" w:left="400" w:hanging="400"/>
              <w:contextualSpacing/>
              <w:jc w:val="both"/>
              <w:rPr>
                <w:rFonts w:cs="Times"/>
                <w:szCs w:val="20"/>
              </w:rPr>
            </w:pPr>
            <w:r w:rsidRPr="000F5946">
              <w:rPr>
                <w:rFonts w:cs="Times"/>
                <w:szCs w:val="20"/>
              </w:rPr>
              <w:t>FFS: The support for P/SP CSI-RS</w:t>
            </w:r>
          </w:p>
          <w:p w:rsidR="00D6117B" w:rsidRPr="000F5946" w:rsidRDefault="00D6117B" w:rsidP="00D6117B">
            <w:pPr>
              <w:rPr>
                <w:i/>
                <w:sz w:val="20"/>
                <w:szCs w:val="20"/>
                <w:lang w:eastAsia="x-none"/>
              </w:rPr>
            </w:pP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rFonts w:cs="Times"/>
                <w:sz w:val="20"/>
                <w:szCs w:val="20"/>
              </w:rPr>
            </w:pPr>
            <w:r w:rsidRPr="000F5946">
              <w:rPr>
                <w:rFonts w:eastAsia="DengXian"/>
                <w:bCs/>
                <w:sz w:val="20"/>
                <w:szCs w:val="20"/>
              </w:rPr>
              <w:t>For the Rel-19 aperiodic standalone CJT calibration (CJTC) reporting,</w:t>
            </w:r>
            <w:r w:rsidRPr="000F5946">
              <w:rPr>
                <w:rFonts w:cs="Times"/>
                <w:sz w:val="20"/>
                <w:szCs w:val="20"/>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rsidR="00D6117B" w:rsidRPr="000F5946" w:rsidRDefault="00D6117B" w:rsidP="00D6117B">
            <w:pPr>
              <w:pStyle w:val="ListParagraph"/>
              <w:numPr>
                <w:ilvl w:val="0"/>
                <w:numId w:val="1057"/>
              </w:numPr>
              <w:snapToGrid w:val="0"/>
              <w:ind w:leftChars="0" w:left="400" w:hanging="400"/>
              <w:contextualSpacing/>
              <w:rPr>
                <w:rFonts w:cs="Times"/>
                <w:szCs w:val="20"/>
              </w:rPr>
            </w:pPr>
            <w:r w:rsidRPr="000F5946">
              <w:rPr>
                <w:rFonts w:cs="Times"/>
                <w:szCs w:val="20"/>
              </w:rPr>
              <w:t xml:space="preserve">This feature is a separate UE capability </w:t>
            </w:r>
          </w:p>
          <w:p w:rsidR="00D6117B" w:rsidRPr="000F5946" w:rsidRDefault="00D6117B" w:rsidP="00D6117B">
            <w:pPr>
              <w:pStyle w:val="ListParagraph"/>
              <w:numPr>
                <w:ilvl w:val="0"/>
                <w:numId w:val="1057"/>
              </w:numPr>
              <w:snapToGrid w:val="0"/>
              <w:ind w:leftChars="0" w:left="400" w:hanging="400"/>
              <w:contextualSpacing/>
              <w:rPr>
                <w:rFonts w:cs="Times"/>
                <w:szCs w:val="20"/>
              </w:rPr>
            </w:pPr>
            <w:r w:rsidRPr="000F5946">
              <w:rPr>
                <w:rFonts w:cs="Times"/>
                <w:szCs w:val="20"/>
              </w:rPr>
              <w:t>No new DCI field is introduced</w:t>
            </w:r>
            <w:r w:rsidRPr="000F5946">
              <w:rPr>
                <w:rFonts w:cs="Times" w:hint="eastAsia"/>
                <w:szCs w:val="20"/>
                <w:lang w:eastAsia="ko-KR"/>
              </w:rPr>
              <w:t>. This does not preclude increasing the bit width for CSI request.</w:t>
            </w:r>
          </w:p>
          <w:p w:rsidR="00D6117B" w:rsidRPr="000F5946" w:rsidRDefault="00D6117B" w:rsidP="00D6117B">
            <w:pPr>
              <w:pStyle w:val="ListParagraph"/>
              <w:numPr>
                <w:ilvl w:val="0"/>
                <w:numId w:val="1058"/>
              </w:numPr>
              <w:snapToGrid w:val="0"/>
              <w:ind w:leftChars="0" w:left="400" w:hanging="400"/>
              <w:contextualSpacing/>
              <w:rPr>
                <w:rFonts w:cs="Times"/>
                <w:szCs w:val="20"/>
              </w:rPr>
            </w:pPr>
            <w:r w:rsidRPr="000F5946">
              <w:rPr>
                <w:rFonts w:cs="Times"/>
                <w:szCs w:val="20"/>
              </w:rPr>
              <w:t>FFS: Details on signalling design for the indicator including whether it is per CSI-RS resource/Dd value and the associated UE behaviour(s)</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rFonts w:eastAsia="Malgun Gothic"/>
                <w:sz w:val="20"/>
                <w:szCs w:val="20"/>
              </w:rPr>
            </w:pPr>
            <w:r w:rsidRPr="000F5946">
              <w:rPr>
                <w:rFonts w:eastAsia="Calibri"/>
                <w:sz w:val="20"/>
                <w:szCs w:val="20"/>
              </w:rPr>
              <w:t>For the Rel-19 aperiodic standalone CJT calibration (CJTC) reporting, w</w:t>
            </w:r>
            <w:r w:rsidRPr="000F5946">
              <w:rPr>
                <w:sz w:val="20"/>
                <w:szCs w:val="20"/>
              </w:rPr>
              <w:t>hen</w:t>
            </w:r>
            <w:r w:rsidRPr="000F5946">
              <w:rPr>
                <w:i/>
                <w:sz w:val="20"/>
                <w:szCs w:val="20"/>
              </w:rPr>
              <w:t xml:space="preserve"> </w:t>
            </w:r>
            <w:r w:rsidRPr="000F5946">
              <w:rPr>
                <w:rFonts w:eastAsia="Malgun Gothic"/>
                <w:i/>
                <w:sz w:val="20"/>
                <w:szCs w:val="20"/>
              </w:rPr>
              <w:t xml:space="preserve">ReportQuantity </w:t>
            </w:r>
            <w:r w:rsidRPr="000F5946">
              <w:rPr>
                <w:rFonts w:eastAsia="Malgun Gothic"/>
                <w:sz w:val="20"/>
                <w:szCs w:val="20"/>
              </w:rPr>
              <w:t>is</w:t>
            </w:r>
            <w:r w:rsidRPr="000F5946">
              <w:rPr>
                <w:rFonts w:eastAsia="Malgun Gothic"/>
                <w:i/>
                <w:sz w:val="20"/>
                <w:szCs w:val="20"/>
              </w:rPr>
              <w:t xml:space="preserve"> ‘cjtc-P’ </w:t>
            </w:r>
            <w:r w:rsidRPr="000F5946">
              <w:rPr>
                <w:rFonts w:eastAsia="Malgun Gothic"/>
                <w:sz w:val="20"/>
                <w:szCs w:val="20"/>
              </w:rPr>
              <w:t xml:space="preserve">(PO) and </w:t>
            </w:r>
            <w:r w:rsidRPr="000F5946">
              <w:rPr>
                <w:rFonts w:ascii="Symbol" w:eastAsia="Malgun Gothic" w:hAnsi="Symbol"/>
                <w:sz w:val="20"/>
                <w:szCs w:val="20"/>
              </w:rPr>
              <w:t></w:t>
            </w:r>
            <w:r w:rsidRPr="000F5946">
              <w:rPr>
                <w:rFonts w:eastAsia="Malgun Gothic"/>
                <w:sz w:val="20"/>
                <w:szCs w:val="20"/>
              </w:rPr>
              <w:t xml:space="preserve">&gt;1: </w:t>
            </w:r>
          </w:p>
          <w:p w:rsidR="00D6117B" w:rsidRPr="000F5946" w:rsidRDefault="00D6117B" w:rsidP="00D6117B">
            <w:pPr>
              <w:numPr>
                <w:ilvl w:val="0"/>
                <w:numId w:val="1018"/>
              </w:numPr>
              <w:snapToGrid w:val="0"/>
              <w:spacing w:line="254" w:lineRule="auto"/>
              <w:rPr>
                <w:rFonts w:eastAsia="Calibri"/>
                <w:sz w:val="20"/>
                <w:szCs w:val="20"/>
              </w:rPr>
            </w:pPr>
            <w:r w:rsidRPr="000F5946">
              <w:rPr>
                <w:iCs/>
                <w:sz w:val="20"/>
                <w:szCs w:val="20"/>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75"/>
              <w:gridCol w:w="4725"/>
            </w:tblGrid>
            <w:tr w:rsidR="00D6117B" w:rsidRPr="000F5946" w:rsidTr="00831FE6">
              <w:trPr>
                <w:trHeight w:val="246"/>
              </w:trPr>
              <w:tc>
                <w:tcPr>
                  <w:tcW w:w="1875" w:type="dxa"/>
                  <w:shd w:val="clear" w:color="auto" w:fill="BFBFBF"/>
                </w:tcPr>
                <w:p w:rsidR="00D6117B" w:rsidRPr="000F5946" w:rsidRDefault="00D6117B" w:rsidP="00D6117B">
                  <w:pPr>
                    <w:snapToGrid w:val="0"/>
                    <w:rPr>
                      <w:sz w:val="20"/>
                      <w:szCs w:val="20"/>
                    </w:rPr>
                  </w:pPr>
                  <w:r w:rsidRPr="000F5946">
                    <w:rPr>
                      <w:sz w:val="20"/>
                      <w:szCs w:val="20"/>
                    </w:rPr>
                    <w:t>Parameter</w:t>
                  </w:r>
                </w:p>
              </w:tc>
              <w:tc>
                <w:tcPr>
                  <w:tcW w:w="4725" w:type="dxa"/>
                  <w:shd w:val="clear" w:color="auto" w:fill="BFBFBF"/>
                </w:tcPr>
                <w:p w:rsidR="00D6117B" w:rsidRPr="000F5946" w:rsidRDefault="00D6117B" w:rsidP="00D6117B">
                  <w:pPr>
                    <w:snapToGrid w:val="0"/>
                    <w:rPr>
                      <w:sz w:val="20"/>
                      <w:szCs w:val="20"/>
                    </w:rPr>
                  </w:pPr>
                  <w:r w:rsidRPr="000F5946">
                    <w:rPr>
                      <w:sz w:val="20"/>
                      <w:szCs w:val="20"/>
                    </w:rPr>
                    <w:t>Details/description</w:t>
                  </w:r>
                </w:p>
              </w:tc>
            </w:tr>
            <w:tr w:rsidR="00D6117B" w:rsidRPr="000F5946" w:rsidTr="00831FE6">
              <w:trPr>
                <w:trHeight w:val="262"/>
              </w:trPr>
              <w:tc>
                <w:tcPr>
                  <w:tcW w:w="1875" w:type="dxa"/>
                  <w:shd w:val="clear" w:color="auto" w:fill="auto"/>
                </w:tcPr>
                <w:p w:rsidR="00D6117B" w:rsidRPr="000F5946" w:rsidRDefault="00D6117B" w:rsidP="00D6117B">
                  <w:pPr>
                    <w:snapToGrid w:val="0"/>
                    <w:rPr>
                      <w:sz w:val="20"/>
                      <w:szCs w:val="20"/>
                    </w:rPr>
                  </w:pPr>
                  <w:r w:rsidRPr="000F5946">
                    <w:rPr>
                      <w:sz w:val="20"/>
                      <w:szCs w:val="20"/>
                    </w:rPr>
                    <w:t>nref</w:t>
                  </w:r>
                </w:p>
              </w:tc>
              <w:tc>
                <w:tcPr>
                  <w:tcW w:w="4725" w:type="dxa"/>
                  <w:shd w:val="clear" w:color="auto" w:fill="auto"/>
                </w:tcPr>
                <w:p w:rsidR="00D6117B" w:rsidRPr="000F5946" w:rsidRDefault="00D6117B" w:rsidP="00D6117B">
                  <w:pPr>
                    <w:snapToGrid w:val="0"/>
                    <w:rPr>
                      <w:sz w:val="20"/>
                      <w:szCs w:val="20"/>
                    </w:rPr>
                  </w:pPr>
                  <w:r w:rsidRPr="000F5946">
                    <w:rPr>
                      <w:rFonts w:eastAsia="Calibri"/>
                      <w:sz w:val="20"/>
                      <w:szCs w:val="20"/>
                    </w:rPr>
                    <w:t xml:space="preserve">Reference CSI-RS resource index, based on the ordering from RRC configuration: </w:t>
                  </w:r>
                  <m:oMath>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e>
                        </m:d>
                      </m:e>
                    </m:d>
                  </m:oMath>
                  <w:r w:rsidRPr="000F5946">
                    <w:rPr>
                      <w:rFonts w:eastAsia="Calibri"/>
                      <w:sz w:val="20"/>
                      <w:szCs w:val="20"/>
                    </w:rPr>
                    <w:t xml:space="preserve"> bits</w:t>
                  </w:r>
                </w:p>
              </w:tc>
            </w:tr>
            <w:tr w:rsidR="00D6117B" w:rsidRPr="000F5946" w:rsidTr="00831FE6">
              <w:trPr>
                <w:trHeight w:val="246"/>
              </w:trPr>
              <w:tc>
                <w:tcPr>
                  <w:tcW w:w="1875" w:type="dxa"/>
                  <w:shd w:val="clear" w:color="auto" w:fill="auto"/>
                </w:tcPr>
                <w:p w:rsidR="00D6117B" w:rsidRPr="000F5946" w:rsidRDefault="00D6117B" w:rsidP="00D6117B">
                  <w:pPr>
                    <w:snapToGrid w:val="0"/>
                    <w:rPr>
                      <w:sz w:val="20"/>
                      <w:szCs w:val="20"/>
                    </w:rPr>
                  </w:pPr>
                  <w:r w:rsidRPr="000F5946">
                    <w:rPr>
                      <w:rFonts w:eastAsia="Malgun Gothic"/>
                      <w:sz w:val="20"/>
                      <w:szCs w:val="20"/>
                    </w:rPr>
                    <w:t>{</w:t>
                  </w:r>
                  <w:r w:rsidRPr="000F5946">
                    <w:rPr>
                      <w:sz w:val="20"/>
                      <w:szCs w:val="20"/>
                    </w:rPr>
                    <w:t>(</w:t>
                  </w:r>
                  <w:r w:rsidRPr="000F5946">
                    <w:rPr>
                      <w:rFonts w:ascii="Symbol" w:hAnsi="Symbol"/>
                      <w:sz w:val="20"/>
                      <w:szCs w:val="20"/>
                    </w:rPr>
                    <w:t></w:t>
                  </w:r>
                  <w:r w:rsidRPr="000F5946">
                    <w:rPr>
                      <w:sz w:val="20"/>
                      <w:szCs w:val="20"/>
                      <w:vertAlign w:val="subscript"/>
                    </w:rPr>
                    <w:t>n,</w:t>
                  </w:r>
                  <w:r w:rsidRPr="000F5946">
                    <w:rPr>
                      <w:rFonts w:ascii="Symbol" w:hAnsi="Symbol"/>
                      <w:sz w:val="20"/>
                      <w:szCs w:val="20"/>
                      <w:vertAlign w:val="subscript"/>
                    </w:rPr>
                    <w:t></w:t>
                  </w:r>
                  <w:r w:rsidRPr="000F5946">
                    <w:rPr>
                      <w:sz w:val="20"/>
                      <w:szCs w:val="20"/>
                    </w:rPr>
                    <w:t xml:space="preserve">, </w:t>
                  </w:r>
                  <w:r w:rsidRPr="000F5946">
                    <w:rPr>
                      <w:rFonts w:ascii="Symbol" w:hAnsi="Symbol"/>
                      <w:sz w:val="20"/>
                      <w:szCs w:val="20"/>
                    </w:rPr>
                    <w:t></w:t>
                  </w:r>
                  <w:r w:rsidRPr="000F5946">
                    <w:rPr>
                      <w:sz w:val="20"/>
                      <w:szCs w:val="20"/>
                      <w:vertAlign w:val="subscript"/>
                    </w:rPr>
                    <w:t>n,</w:t>
                  </w:r>
                  <w:r w:rsidRPr="000F5946">
                    <w:rPr>
                      <w:rFonts w:ascii="Symbol" w:hAnsi="Symbol"/>
                      <w:sz w:val="20"/>
                      <w:szCs w:val="20"/>
                      <w:vertAlign w:val="subscript"/>
                    </w:rPr>
                    <w:t></w:t>
                  </w:r>
                  <w:r w:rsidRPr="000F5946">
                    <w:rPr>
                      <w:rFonts w:ascii="Symbol" w:hAnsi="Symbol"/>
                      <w:sz w:val="20"/>
                      <w:szCs w:val="20"/>
                      <w:vertAlign w:val="subscript"/>
                    </w:rPr>
                    <w:t></w:t>
                  </w:r>
                  <w:r w:rsidRPr="000F5946">
                    <w:rPr>
                      <w:rFonts w:ascii="Symbol" w:hAnsi="Symbol"/>
                      <w:sz w:val="20"/>
                      <w:szCs w:val="20"/>
                      <w:vertAlign w:val="subscript"/>
                    </w:rPr>
                    <w:t></w:t>
                  </w:r>
                  <w:r w:rsidRPr="000F5946">
                    <w:rPr>
                      <w:rFonts w:ascii="Symbol" w:hAnsi="Symbol"/>
                      <w:sz w:val="20"/>
                      <w:szCs w:val="20"/>
                    </w:rPr>
                    <w:t></w:t>
                  </w:r>
                  <w:r w:rsidRPr="000F5946">
                    <w:rPr>
                      <w:rFonts w:ascii="Symbol" w:hAnsi="Symbol"/>
                      <w:sz w:val="20"/>
                      <w:szCs w:val="20"/>
                    </w:rPr>
                    <w:t></w:t>
                  </w:r>
                  <w:r w:rsidRPr="000F5946">
                    <w:rPr>
                      <w:rFonts w:ascii="Symbol" w:hAnsi="Symbol"/>
                      <w:sz w:val="20"/>
                      <w:szCs w:val="20"/>
                    </w:rPr>
                    <w:t></w:t>
                  </w:r>
                  <w:r w:rsidRPr="000F5946">
                    <w:rPr>
                      <w:sz w:val="20"/>
                      <w:szCs w:val="20"/>
                      <w:vertAlign w:val="subscript"/>
                    </w:rPr>
                    <w:t>,</w:t>
                  </w:r>
                  <w:r w:rsidRPr="000F5946">
                    <w:rPr>
                      <w:sz w:val="20"/>
                      <w:szCs w:val="20"/>
                    </w:rPr>
                    <w:t xml:space="preserve"> </w:t>
                  </w:r>
                  <w:r w:rsidRPr="000F5946">
                    <w:rPr>
                      <w:rFonts w:ascii="Symbol" w:hAnsi="Symbol"/>
                      <w:sz w:val="20"/>
                      <w:szCs w:val="20"/>
                    </w:rPr>
                    <w:t></w:t>
                  </w:r>
                  <w:r w:rsidRPr="000F5946">
                    <w:rPr>
                      <w:sz w:val="20"/>
                      <w:szCs w:val="20"/>
                      <w:vertAlign w:val="subscript"/>
                    </w:rPr>
                    <w:t>n,NSB-P</w:t>
                  </w:r>
                  <w:r w:rsidRPr="000F5946">
                    <w:rPr>
                      <w:rFonts w:ascii="Symbol" w:hAnsi="Symbol"/>
                      <w:sz w:val="20"/>
                      <w:szCs w:val="20"/>
                      <w:vertAlign w:val="subscript"/>
                    </w:rPr>
                    <w:t></w:t>
                  </w:r>
                  <w:r w:rsidRPr="000F5946">
                    <w:rPr>
                      <w:rFonts w:ascii="Symbol" w:hAnsi="Symbol"/>
                      <w:sz w:val="20"/>
                      <w:szCs w:val="20"/>
                      <w:vertAlign w:val="subscript"/>
                    </w:rPr>
                    <w:t></w:t>
                  </w:r>
                  <w:r w:rsidRPr="000F5946">
                    <w:rPr>
                      <w:rFonts w:ascii="Symbol" w:hAnsi="Symbol"/>
                      <w:sz w:val="20"/>
                      <w:szCs w:val="20"/>
                      <w:vertAlign w:val="subscript"/>
                    </w:rPr>
                    <w:t></w:t>
                  </w:r>
                  <w:r w:rsidRPr="000F5946">
                    <w:rPr>
                      <w:sz w:val="20"/>
                      <w:szCs w:val="20"/>
                    </w:rPr>
                    <w:t>), n=0, 1, …, N</w:t>
                  </w:r>
                  <w:r w:rsidRPr="000F5946">
                    <w:rPr>
                      <w:sz w:val="20"/>
                      <w:szCs w:val="20"/>
                      <w:vertAlign w:val="subscript"/>
                    </w:rPr>
                    <w:t>TRP</w:t>
                  </w:r>
                  <w:r w:rsidRPr="000F5946">
                    <w:rPr>
                      <w:sz w:val="20"/>
                      <w:szCs w:val="20"/>
                    </w:rPr>
                    <w:t xml:space="preserve"> – 1, n≠nref}</w:t>
                  </w:r>
                </w:p>
              </w:tc>
              <w:tc>
                <w:tcPr>
                  <w:tcW w:w="4725" w:type="dxa"/>
                  <w:shd w:val="clear" w:color="auto" w:fill="auto"/>
                </w:tcPr>
                <w:p w:rsidR="00D6117B" w:rsidRPr="000F5946" w:rsidRDefault="00D6117B" w:rsidP="00D6117B">
                  <w:pPr>
                    <w:snapToGrid w:val="0"/>
                    <w:rPr>
                      <w:sz w:val="20"/>
                      <w:szCs w:val="20"/>
                    </w:rPr>
                  </w:pPr>
                  <w:r w:rsidRPr="000F5946">
                    <w:rPr>
                      <w:sz w:val="20"/>
                      <w:szCs w:val="20"/>
                    </w:rPr>
                    <w:t>DL/UL phase offsets for CSI-RS resource n, (n=0, 1, …, N</w:t>
                  </w:r>
                  <w:r w:rsidRPr="000F5946">
                    <w:rPr>
                      <w:sz w:val="20"/>
                      <w:szCs w:val="20"/>
                      <w:vertAlign w:val="subscript"/>
                    </w:rPr>
                    <w:t>TRP</w:t>
                  </w:r>
                  <w:r w:rsidRPr="000F5946">
                    <w:rPr>
                      <w:sz w:val="20"/>
                      <w:szCs w:val="20"/>
                    </w:rPr>
                    <w:t xml:space="preserve"> – 1, n≠nref): </w:t>
                  </w:r>
                </w:p>
                <w:p w:rsidR="00D6117B" w:rsidRPr="000F5946" w:rsidRDefault="00000000" w:rsidP="00D6117B">
                  <w:pPr>
                    <w:snapToGrid w:val="0"/>
                    <w:rPr>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TRP</m:t>
                            </m:r>
                          </m:sub>
                        </m:sSub>
                        <m:r>
                          <w:rPr>
                            <w:rFonts w:ascii="Cambria Math" w:hAnsi="Cambria Math"/>
                            <w:sz w:val="20"/>
                            <w:szCs w:val="20"/>
                          </w:rPr>
                          <m:t>-1</m:t>
                        </m:r>
                      </m:e>
                    </m:d>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SB-P</m:t>
                        </m:r>
                      </m:sub>
                    </m:sSub>
                    <m:r>
                      <m:rPr>
                        <m:sty m:val="p"/>
                      </m:rPr>
                      <w:rPr>
                        <w:rFonts w:ascii="Cambria Math" w:eastAsia="Calibri" w:hAnsi="Cambria Math"/>
                        <w:sz w:val="20"/>
                        <w:szCs w:val="20"/>
                      </w:rPr>
                      <m:t xml:space="preserve"> </m:t>
                    </m:r>
                    <m:d>
                      <m:dPr>
                        <m:begChr m:val="⌈"/>
                        <m:endChr m:val="⌉"/>
                        <m:ctrlPr>
                          <w:rPr>
                            <w:rFonts w:ascii="Cambria Math" w:eastAsia="Calibri" w:hAnsi="Cambria Math"/>
                            <w:i/>
                            <w:sz w:val="20"/>
                            <w:szCs w:val="20"/>
                          </w:rPr>
                        </m:ctrlPr>
                      </m:dPr>
                      <m:e>
                        <m:r>
                          <m:rPr>
                            <m:sty m:val="p"/>
                          </m:rP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M</m:t>
                                </m:r>
                              </m:e>
                              <m:sub>
                                <m:r>
                                  <m:rPr>
                                    <m:sty m:val="p"/>
                                  </m:rPr>
                                  <w:rPr>
                                    <w:rFonts w:ascii="Cambria Math" w:eastAsia="Calibri" w:hAnsi="Cambria Math"/>
                                    <w:sz w:val="20"/>
                                    <w:szCs w:val="20"/>
                                  </w:rPr>
                                  <m:t>Φ</m:t>
                                </m:r>
                              </m:sub>
                            </m:sSub>
                          </m:e>
                        </m:d>
                      </m:e>
                    </m:d>
                  </m:oMath>
                  <w:r w:rsidR="00D6117B" w:rsidRPr="000F5946">
                    <w:rPr>
                      <w:rFonts w:eastAsia="Calibri"/>
                      <w:sz w:val="20"/>
                      <w:szCs w:val="20"/>
                    </w:rPr>
                    <w:t>bits</w:t>
                  </w:r>
                </w:p>
              </w:tc>
            </w:tr>
          </w:tbl>
          <w:p w:rsidR="00D6117B" w:rsidRPr="000F5946" w:rsidRDefault="00D6117B" w:rsidP="00D6117B">
            <w:pPr>
              <w:numPr>
                <w:ilvl w:val="0"/>
                <w:numId w:val="986"/>
              </w:numPr>
              <w:snapToGrid w:val="0"/>
              <w:rPr>
                <w:rFonts w:eastAsia="Malgun Gothic"/>
                <w:i/>
                <w:sz w:val="20"/>
                <w:szCs w:val="20"/>
              </w:rPr>
            </w:pPr>
            <w:r w:rsidRPr="000F5946">
              <w:rPr>
                <w:rFonts w:eastAsia="Malgun Gothic"/>
                <w:sz w:val="20"/>
                <w:szCs w:val="20"/>
              </w:rPr>
              <w:t>The UCI mapping order is as follows</w:t>
            </w:r>
            <w:r w:rsidRPr="000F5946">
              <w:rPr>
                <w:sz w:val="20"/>
                <w:szCs w:val="20"/>
              </w:rPr>
              <w:t>:</w:t>
            </w:r>
          </w:p>
          <w:p w:rsidR="00D6117B" w:rsidRPr="000F5946" w:rsidRDefault="00D6117B" w:rsidP="00D6117B">
            <w:pPr>
              <w:numPr>
                <w:ilvl w:val="1"/>
                <w:numId w:val="986"/>
              </w:numPr>
              <w:snapToGrid w:val="0"/>
              <w:rPr>
                <w:rFonts w:eastAsia="Malgun Gothic"/>
                <w:i/>
                <w:sz w:val="20"/>
                <w:szCs w:val="20"/>
              </w:rPr>
            </w:pPr>
            <w:r w:rsidRPr="000F5946">
              <w:rPr>
                <w:rFonts w:eastAsia="SimSun"/>
                <w:sz w:val="20"/>
                <w:szCs w:val="20"/>
              </w:rPr>
              <w:t xml:space="preserve">nref, </w:t>
            </w:r>
          </w:p>
          <w:p w:rsidR="00D6117B" w:rsidRPr="000F5946" w:rsidRDefault="00D6117B" w:rsidP="00D6117B">
            <w:pPr>
              <w:numPr>
                <w:ilvl w:val="1"/>
                <w:numId w:val="986"/>
              </w:numPr>
              <w:snapToGrid w:val="0"/>
              <w:rPr>
                <w:rFonts w:eastAsia="Malgun Gothic"/>
                <w:i/>
                <w:sz w:val="20"/>
                <w:szCs w:val="20"/>
              </w:rPr>
            </w:pPr>
            <w:r w:rsidRPr="000F5946">
              <w:rPr>
                <w:rFonts w:eastAsia="Malgun Gothic"/>
                <w:sz w:val="20"/>
                <w:szCs w:val="20"/>
              </w:rPr>
              <w:t>{</w:t>
            </w:r>
            <w:r w:rsidRPr="000F5946">
              <w:rPr>
                <w:sz w:val="20"/>
                <w:szCs w:val="20"/>
              </w:rPr>
              <w:t>(</w:t>
            </w:r>
            <w:r w:rsidRPr="000F5946">
              <w:rPr>
                <w:rFonts w:ascii="Symbol" w:hAnsi="Symbol"/>
                <w:sz w:val="20"/>
                <w:szCs w:val="20"/>
              </w:rPr>
              <w:t></w:t>
            </w:r>
            <w:r w:rsidRPr="000F5946">
              <w:rPr>
                <w:sz w:val="20"/>
                <w:szCs w:val="20"/>
                <w:vertAlign w:val="subscript"/>
              </w:rPr>
              <w:t>n,</w:t>
            </w:r>
            <w:r w:rsidRPr="000F5946">
              <w:rPr>
                <w:rFonts w:ascii="Symbol" w:hAnsi="Symbol"/>
                <w:sz w:val="20"/>
                <w:szCs w:val="20"/>
                <w:vertAlign w:val="subscript"/>
              </w:rPr>
              <w:t></w:t>
            </w:r>
            <w:r w:rsidRPr="000F5946">
              <w:rPr>
                <w:sz w:val="20"/>
                <w:szCs w:val="20"/>
              </w:rPr>
              <w:t xml:space="preserve">, </w:t>
            </w:r>
            <w:r w:rsidRPr="000F5946">
              <w:rPr>
                <w:rFonts w:ascii="Symbol" w:hAnsi="Symbol"/>
                <w:sz w:val="20"/>
                <w:szCs w:val="20"/>
              </w:rPr>
              <w:t></w:t>
            </w:r>
            <w:r w:rsidRPr="000F5946">
              <w:rPr>
                <w:sz w:val="20"/>
                <w:szCs w:val="20"/>
                <w:vertAlign w:val="subscript"/>
              </w:rPr>
              <w:t>n,</w:t>
            </w:r>
            <w:r w:rsidRPr="000F5946">
              <w:rPr>
                <w:rFonts w:ascii="Symbol" w:hAnsi="Symbol"/>
                <w:sz w:val="20"/>
                <w:szCs w:val="20"/>
                <w:vertAlign w:val="subscript"/>
              </w:rPr>
              <w:t></w:t>
            </w:r>
            <w:r w:rsidRPr="000F5946">
              <w:rPr>
                <w:rFonts w:ascii="Symbol" w:hAnsi="Symbol"/>
                <w:sz w:val="20"/>
                <w:szCs w:val="20"/>
                <w:vertAlign w:val="subscript"/>
              </w:rPr>
              <w:t></w:t>
            </w:r>
            <w:r w:rsidRPr="000F5946">
              <w:rPr>
                <w:rFonts w:ascii="Symbol" w:hAnsi="Symbol"/>
                <w:sz w:val="20"/>
                <w:szCs w:val="20"/>
                <w:vertAlign w:val="subscript"/>
              </w:rPr>
              <w:t></w:t>
            </w:r>
            <w:r w:rsidRPr="000F5946">
              <w:rPr>
                <w:rFonts w:ascii="Symbol" w:hAnsi="Symbol"/>
                <w:sz w:val="20"/>
                <w:szCs w:val="20"/>
              </w:rPr>
              <w:t></w:t>
            </w:r>
            <w:r w:rsidRPr="000F5946">
              <w:rPr>
                <w:rFonts w:ascii="Symbol" w:hAnsi="Symbol"/>
                <w:sz w:val="20"/>
                <w:szCs w:val="20"/>
              </w:rPr>
              <w:t></w:t>
            </w:r>
            <w:r w:rsidRPr="000F5946">
              <w:rPr>
                <w:rFonts w:ascii="Symbol" w:hAnsi="Symbol"/>
                <w:sz w:val="20"/>
                <w:szCs w:val="20"/>
              </w:rPr>
              <w:t></w:t>
            </w:r>
            <w:r w:rsidRPr="000F5946">
              <w:rPr>
                <w:sz w:val="20"/>
                <w:szCs w:val="20"/>
                <w:vertAlign w:val="subscript"/>
              </w:rPr>
              <w:t>,</w:t>
            </w:r>
            <w:r w:rsidRPr="000F5946">
              <w:rPr>
                <w:sz w:val="20"/>
                <w:szCs w:val="20"/>
              </w:rPr>
              <w:t xml:space="preserve"> </w:t>
            </w:r>
            <w:r w:rsidRPr="000F5946">
              <w:rPr>
                <w:rFonts w:ascii="Symbol" w:hAnsi="Symbol"/>
                <w:sz w:val="20"/>
                <w:szCs w:val="20"/>
              </w:rPr>
              <w:t></w:t>
            </w:r>
            <w:r w:rsidRPr="000F5946">
              <w:rPr>
                <w:sz w:val="20"/>
                <w:szCs w:val="20"/>
                <w:vertAlign w:val="subscript"/>
              </w:rPr>
              <w:t>n,NSB-P</w:t>
            </w:r>
            <w:r w:rsidRPr="000F5946">
              <w:rPr>
                <w:rFonts w:ascii="Symbol" w:hAnsi="Symbol"/>
                <w:sz w:val="20"/>
                <w:szCs w:val="20"/>
                <w:vertAlign w:val="subscript"/>
              </w:rPr>
              <w:t></w:t>
            </w:r>
            <w:r w:rsidRPr="000F5946">
              <w:rPr>
                <w:rFonts w:ascii="Symbol" w:hAnsi="Symbol"/>
                <w:sz w:val="20"/>
                <w:szCs w:val="20"/>
                <w:vertAlign w:val="subscript"/>
              </w:rPr>
              <w:t></w:t>
            </w:r>
            <w:r w:rsidRPr="000F5946">
              <w:rPr>
                <w:rFonts w:ascii="Symbol" w:hAnsi="Symbol"/>
                <w:sz w:val="20"/>
                <w:szCs w:val="20"/>
                <w:vertAlign w:val="subscript"/>
              </w:rPr>
              <w:t></w:t>
            </w:r>
            <w:r w:rsidRPr="000F5946">
              <w:rPr>
                <w:sz w:val="20"/>
                <w:szCs w:val="20"/>
              </w:rPr>
              <w:t>), n=0, 1, …, N</w:t>
            </w:r>
            <w:r w:rsidRPr="000F5946">
              <w:rPr>
                <w:sz w:val="20"/>
                <w:szCs w:val="20"/>
                <w:vertAlign w:val="subscript"/>
              </w:rPr>
              <w:t>TRP</w:t>
            </w:r>
            <w:r w:rsidRPr="000F5946">
              <w:rPr>
                <w:sz w:val="20"/>
                <w:szCs w:val="20"/>
              </w:rPr>
              <w:t xml:space="preserve"> – 1, n≠nref} </w:t>
            </w:r>
            <w:r w:rsidRPr="000F5946">
              <w:rPr>
                <w:rFonts w:eastAsia="SimSun"/>
                <w:sz w:val="20"/>
                <w:szCs w:val="20"/>
              </w:rPr>
              <w:t xml:space="preserve">ordered from the lowest to highest CSI-RS resource ID </w:t>
            </w:r>
          </w:p>
          <w:p w:rsidR="00D6117B" w:rsidRPr="000F5946" w:rsidRDefault="00D6117B" w:rsidP="00D6117B">
            <w:pPr>
              <w:snapToGrid w:val="0"/>
              <w:rPr>
                <w:b/>
                <w:sz w:val="20"/>
                <w:szCs w:val="20"/>
                <w:u w:val="singl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rFonts w:eastAsia="Malgun Gothic"/>
                <w:sz w:val="20"/>
                <w:szCs w:val="20"/>
              </w:rPr>
            </w:pPr>
            <w:r w:rsidRPr="000F5946">
              <w:rPr>
                <w:rFonts w:eastAsia="Malgun Gothic"/>
                <w:sz w:val="20"/>
                <w:szCs w:val="20"/>
              </w:rPr>
              <w:t>For the Rel-19 aperiodic standalone CJT calibration reporting, regarding active resource counting and O</w:t>
            </w:r>
            <w:r w:rsidRPr="000F5946">
              <w:rPr>
                <w:rFonts w:eastAsia="Malgun Gothic"/>
                <w:sz w:val="20"/>
                <w:szCs w:val="20"/>
                <w:vertAlign w:val="subscript"/>
              </w:rPr>
              <w:t>CPU</w:t>
            </w:r>
            <w:r w:rsidRPr="000F5946">
              <w:rPr>
                <w:rFonts w:eastAsia="Malgun Gothic"/>
                <w:sz w:val="20"/>
                <w:szCs w:val="20"/>
              </w:rPr>
              <w:t xml:space="preserve">, when ReportQuantity is ‘cjtc-P’ (phase offset), for both </w:t>
            </w:r>
            <w:r w:rsidRPr="000F5946">
              <w:rPr>
                <w:rFonts w:ascii="Symbol" w:eastAsia="Malgun Gothic" w:hAnsi="Symbol"/>
                <w:sz w:val="20"/>
                <w:szCs w:val="20"/>
              </w:rPr>
              <w:t></w:t>
            </w:r>
            <w:r w:rsidRPr="000F5946">
              <w:rPr>
                <w:rFonts w:eastAsia="Malgun Gothic"/>
                <w:sz w:val="20"/>
                <w:szCs w:val="20"/>
              </w:rPr>
              <w:t xml:space="preserve">=1 and </w:t>
            </w:r>
            <w:r w:rsidRPr="000F5946">
              <w:rPr>
                <w:rFonts w:ascii="Symbol" w:eastAsia="Malgun Gothic" w:hAnsi="Symbol"/>
                <w:sz w:val="20"/>
                <w:szCs w:val="20"/>
              </w:rPr>
              <w:t></w:t>
            </w:r>
            <w:r w:rsidRPr="000F5946">
              <w:rPr>
                <w:rFonts w:eastAsia="Malgun Gothic"/>
                <w:sz w:val="20"/>
                <w:szCs w:val="20"/>
              </w:rPr>
              <w:t>&gt;1, fully reuse those from Rel-18 TDCP reporting</w:t>
            </w:r>
          </w:p>
          <w:p w:rsidR="00D6117B" w:rsidRPr="000F5946" w:rsidRDefault="00D6117B" w:rsidP="00D6117B">
            <w:pPr>
              <w:numPr>
                <w:ilvl w:val="0"/>
                <w:numId w:val="831"/>
              </w:numPr>
              <w:snapToGrid w:val="0"/>
              <w:rPr>
                <w:rFonts w:eastAsia="Malgun Gothic"/>
                <w:sz w:val="20"/>
                <w:szCs w:val="20"/>
              </w:rPr>
            </w:pPr>
            <w:r w:rsidRPr="000F5946">
              <w:rPr>
                <w:rFonts w:eastAsia="Malgun Gothic"/>
                <w:sz w:val="20"/>
                <w:szCs w:val="20"/>
              </w:rPr>
              <w:t>O</w:t>
            </w:r>
            <w:r w:rsidRPr="000F5946">
              <w:rPr>
                <w:rFonts w:eastAsia="Malgun Gothic"/>
                <w:sz w:val="20"/>
                <w:szCs w:val="20"/>
                <w:vertAlign w:val="subscript"/>
              </w:rPr>
              <w:t>CPU</w:t>
            </w:r>
            <w:r w:rsidRPr="000F5946">
              <w:rPr>
                <w:rFonts w:eastAsia="Malgun Gothic"/>
                <w:sz w:val="20"/>
                <w:szCs w:val="20"/>
              </w:rPr>
              <w:t xml:space="preserve"> =X.N</w:t>
            </w:r>
            <w:r w:rsidRPr="000F5946">
              <w:rPr>
                <w:rFonts w:eastAsia="Malgun Gothic"/>
                <w:sz w:val="20"/>
                <w:szCs w:val="20"/>
                <w:vertAlign w:val="subscript"/>
              </w:rPr>
              <w:t>TRP</w:t>
            </w:r>
            <w:r w:rsidRPr="000F5946">
              <w:rPr>
                <w:rFonts w:eastAsia="Malgun Gothic"/>
                <w:sz w:val="20"/>
                <w:szCs w:val="20"/>
              </w:rPr>
              <w:t xml:space="preserve"> where X≥1 is defined based on UE capabilities and determined by the UE </w:t>
            </w:r>
          </w:p>
          <w:p w:rsidR="00D6117B" w:rsidRPr="000F5946" w:rsidRDefault="00D6117B" w:rsidP="00D6117B">
            <w:pPr>
              <w:snapToGrid w:val="0"/>
              <w:rPr>
                <w:b/>
                <w:sz w:val="20"/>
                <w:szCs w:val="20"/>
                <w:u w:val="singl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bCs/>
                <w:sz w:val="20"/>
                <w:szCs w:val="20"/>
              </w:rPr>
            </w:pPr>
            <w:r w:rsidRPr="000F5946">
              <w:rPr>
                <w:rFonts w:eastAsia="Malgun Gothic"/>
                <w:sz w:val="20"/>
                <w:szCs w:val="20"/>
              </w:rPr>
              <w:t>For the Rel-19 aperiodic standalone CJT calibration reporting,</w:t>
            </w:r>
            <w:r w:rsidRPr="000F5946">
              <w:rPr>
                <w:bCs/>
                <w:sz w:val="20"/>
                <w:szCs w:val="20"/>
              </w:rPr>
              <w:t xml:space="preserve"> when ReportQuantity is ‘cjtc-Dd’ (delay offset), ‘cjtc-F’ (frequency offset), or, ‘cjtc-Dd-F’ (joint delay + frequency offset),  </w:t>
            </w:r>
          </w:p>
          <w:p w:rsidR="00D6117B" w:rsidRPr="000F5946" w:rsidRDefault="00D6117B" w:rsidP="00D6117B">
            <w:pPr>
              <w:pStyle w:val="ListParagraph"/>
              <w:numPr>
                <w:ilvl w:val="0"/>
                <w:numId w:val="983"/>
              </w:numPr>
              <w:snapToGrid w:val="0"/>
              <w:ind w:leftChars="0" w:left="400" w:hanging="400"/>
              <w:rPr>
                <w:rFonts w:eastAsia="Malgun Gothic"/>
                <w:szCs w:val="20"/>
              </w:rPr>
            </w:pPr>
            <w:r w:rsidRPr="000F5946">
              <w:rPr>
                <w:rFonts w:eastAsia="Malgun Gothic"/>
                <w:bCs/>
                <w:iCs/>
                <w:szCs w:val="20"/>
                <w:lang w:eastAsia="ko-KR"/>
              </w:rPr>
              <w:lastRenderedPageBreak/>
              <w:t xml:space="preserve">after the CSI report </w:t>
            </w:r>
            <w:r w:rsidRPr="000F5946">
              <w:rPr>
                <w:rFonts w:eastAsia="Malgun Gothic"/>
                <w:bCs/>
                <w:szCs w:val="20"/>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TRS</m:t>
                  </m:r>
                </m:sub>
              </m:sSub>
            </m:oMath>
            <w:r w:rsidRPr="000F5946">
              <w:rPr>
                <w:rFonts w:eastAsia="Malgun Gothic"/>
                <w:bCs/>
                <w:szCs w:val="20"/>
                <w:lang w:eastAsia="ko-KR"/>
              </w:rPr>
              <w:t xml:space="preserve"> CSI-RS Resource Sets of the CSI-RS Resource Setting for channel measurement </w:t>
            </w:r>
            <w:r w:rsidRPr="000F5946">
              <w:rPr>
                <w:rFonts w:eastAsia="Malgun Gothic"/>
                <w:bCs/>
                <w:iCs/>
                <w:szCs w:val="20"/>
                <w:lang w:eastAsia="ko-KR"/>
              </w:rPr>
              <w:t>no later than the CSI reference resource within the same DRX active time, when DRX is configured, and drop the report otherwise</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bCs/>
                <w:sz w:val="20"/>
                <w:szCs w:val="20"/>
              </w:rPr>
            </w:pPr>
            <w:r w:rsidRPr="000F5946">
              <w:rPr>
                <w:rFonts w:eastAsia="Malgun Gothic"/>
                <w:sz w:val="20"/>
                <w:szCs w:val="20"/>
              </w:rPr>
              <w:t>For the Rel-19 aperiodic standalone CJT calibration reporting,</w:t>
            </w:r>
            <w:r w:rsidRPr="000F5946">
              <w:rPr>
                <w:bCs/>
                <w:sz w:val="20"/>
                <w:szCs w:val="20"/>
              </w:rPr>
              <w:t xml:space="preserve"> when ReportQuantity is ‘cjtc-P’ (DL/UL phase offset), </w:t>
            </w:r>
          </w:p>
          <w:p w:rsidR="00D6117B" w:rsidRPr="000F5946" w:rsidRDefault="00D6117B" w:rsidP="00D6117B">
            <w:pPr>
              <w:pStyle w:val="ListParagraph"/>
              <w:numPr>
                <w:ilvl w:val="0"/>
                <w:numId w:val="983"/>
              </w:numPr>
              <w:snapToGrid w:val="0"/>
              <w:ind w:leftChars="0" w:left="400" w:hanging="400"/>
              <w:jc w:val="both"/>
              <w:rPr>
                <w:bCs/>
                <w:szCs w:val="20"/>
                <w:lang w:eastAsia="zh-CN"/>
              </w:rPr>
            </w:pPr>
            <w:r w:rsidRPr="000F5946">
              <w:rPr>
                <w:rFonts w:eastAsiaTheme="minorEastAsia"/>
                <w:bCs/>
                <w:iCs/>
                <w:szCs w:val="20"/>
              </w:rPr>
              <w:t xml:space="preserve">after the CSI report </w:t>
            </w:r>
            <w:r w:rsidRPr="000F5946">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sidRPr="000F5946">
              <w:rPr>
                <w:rFonts w:eastAsiaTheme="minorEastAsia"/>
                <w:bCs/>
                <w:iCs/>
                <w:szCs w:val="20"/>
              </w:rPr>
              <w:t>no later than the CSI reference resource within the same DRX active time, when DRX is configured, and drop the report otherwise.</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jc w:val="both"/>
              <w:rPr>
                <w:bCs/>
                <w:sz w:val="20"/>
                <w:szCs w:val="20"/>
              </w:rPr>
            </w:pPr>
            <w:r w:rsidRPr="000F5946">
              <w:rPr>
                <w:bCs/>
                <w:sz w:val="20"/>
                <w:szCs w:val="20"/>
              </w:rPr>
              <w:t>For the Rel-19 aperiodic standalone CJT calibration reporting, when ReportQuantity is ‘cjtc-P’ (DL/UL phase offset), regarding the support of sub-band reporting (</w:t>
            </w:r>
            <w:r w:rsidRPr="000F5946">
              <w:rPr>
                <w:rFonts w:ascii="Symbol" w:eastAsia="Malgun Gothic" w:hAnsi="Symbol"/>
                <w:sz w:val="20"/>
                <w:szCs w:val="20"/>
              </w:rPr>
              <w:t></w:t>
            </w:r>
            <w:r w:rsidRPr="000F5946">
              <w:rPr>
                <w:bCs/>
                <w:sz w:val="20"/>
                <w:szCs w:val="20"/>
              </w:rPr>
              <w:t xml:space="preserve">&gt;1), the maximum value of configured </w:t>
            </w:r>
            <w:r w:rsidRPr="000F5946">
              <w:rPr>
                <w:sz w:val="20"/>
                <w:szCs w:val="20"/>
              </w:rPr>
              <w:t>N</w:t>
            </w:r>
            <w:r w:rsidRPr="000F5946">
              <w:rPr>
                <w:sz w:val="20"/>
                <w:szCs w:val="20"/>
                <w:vertAlign w:val="subscript"/>
              </w:rPr>
              <w:t>SB-P</w:t>
            </w:r>
            <w:r w:rsidRPr="000F5946">
              <w:rPr>
                <w:sz w:val="20"/>
                <w:szCs w:val="20"/>
              </w:rPr>
              <w:t xml:space="preserve"> </w:t>
            </w:r>
            <w:r w:rsidRPr="000F5946">
              <w:rPr>
                <w:bCs/>
                <w:sz w:val="20"/>
                <w:szCs w:val="20"/>
              </w:rPr>
              <w:t>is 16 per CSI reporting setting</w:t>
            </w:r>
          </w:p>
          <w:p w:rsidR="00D6117B" w:rsidRPr="000F5946" w:rsidRDefault="00D6117B" w:rsidP="00D6117B">
            <w:pPr>
              <w:rPr>
                <w:i/>
                <w:sz w:val="20"/>
                <w:szCs w:val="20"/>
                <w:lang w:eastAsia="x-none"/>
              </w:rPr>
            </w:pPr>
          </w:p>
          <w:p w:rsidR="00D6117B" w:rsidRPr="000F5946" w:rsidRDefault="00D6117B" w:rsidP="00D6117B">
            <w:pPr>
              <w:snapToGrid w:val="0"/>
              <w:rPr>
                <w:rFonts w:eastAsia="Calibri"/>
                <w:sz w:val="20"/>
                <w:szCs w:val="20"/>
              </w:rPr>
            </w:pPr>
            <w:r w:rsidRPr="000F5946">
              <w:rPr>
                <w:rFonts w:eastAsia="Calibri"/>
                <w:b/>
                <w:sz w:val="20"/>
                <w:szCs w:val="20"/>
              </w:rPr>
              <w:t>Conclusion</w:t>
            </w:r>
          </w:p>
          <w:p w:rsidR="00D6117B" w:rsidRPr="000F5946" w:rsidRDefault="00D6117B" w:rsidP="00D6117B">
            <w:pPr>
              <w:snapToGrid w:val="0"/>
              <w:rPr>
                <w:rFonts w:cs="Times"/>
                <w:sz w:val="20"/>
                <w:szCs w:val="20"/>
              </w:rPr>
            </w:pPr>
            <w:r w:rsidRPr="000F5946">
              <w:rPr>
                <w:rFonts w:eastAsia="Calibri"/>
                <w:sz w:val="20"/>
                <w:szCs w:val="20"/>
              </w:rPr>
              <w:t>For the Rel-19 aperiodic standalone CJT calibration (CJTC) reporting,</w:t>
            </w:r>
            <w:r w:rsidRPr="000F5946">
              <w:rPr>
                <w:sz w:val="20"/>
                <w:szCs w:val="20"/>
              </w:rPr>
              <w:t xml:space="preserve"> when linking CJTC Dd and Rel-18 eType-II CJT CSI reports is configured </w:t>
            </w:r>
            <w:r w:rsidRPr="000F5946">
              <w:rPr>
                <w:strike/>
                <w:sz w:val="20"/>
                <w:szCs w:val="20"/>
              </w:rPr>
              <w:t>with a joint trigger</w:t>
            </w:r>
            <w:r w:rsidRPr="000F5946">
              <w:rPr>
                <w:sz w:val="20"/>
                <w:szCs w:val="20"/>
              </w:rPr>
              <w:t xml:space="preserve">, there is no consensus in supporting P/SP CSI-RS as </w:t>
            </w:r>
            <w:r w:rsidRPr="000F5946">
              <w:rPr>
                <w:rFonts w:cs="Times"/>
                <w:sz w:val="20"/>
                <w:szCs w:val="20"/>
              </w:rPr>
              <w:t>the CMR for the Rel-18 eType-II CJT reporting (in addition to the agreed AP CSI-RS).</w:t>
            </w:r>
          </w:p>
          <w:p w:rsidR="00D6117B" w:rsidRPr="000F5946" w:rsidRDefault="00D6117B" w:rsidP="00D6117B">
            <w:pPr>
              <w:rPr>
                <w:i/>
                <w:sz w:val="20"/>
                <w:szCs w:val="20"/>
                <w:lang w:eastAsia="x-none"/>
              </w:rPr>
            </w:pP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jc w:val="both"/>
              <w:rPr>
                <w:iCs/>
                <w:sz w:val="20"/>
                <w:szCs w:val="20"/>
              </w:rPr>
            </w:pPr>
            <w:r w:rsidRPr="000F5946">
              <w:rPr>
                <w:iCs/>
                <w:sz w:val="20"/>
                <w:szCs w:val="20"/>
              </w:rPr>
              <w:t xml:space="preserve">For the Rel-19 Type-I SP codebook refinement for 48, 64, and 128 CSI-RS ports, regarding </w:t>
            </w:r>
            <w:r w:rsidRPr="000F5946">
              <w:rPr>
                <w:sz w:val="20"/>
                <w:szCs w:val="20"/>
              </w:rPr>
              <w:t>per-layer scaling factor applied to each of the selected SD basis vectors</w:t>
            </w:r>
            <w:r w:rsidRPr="000F5946">
              <w:rPr>
                <w:iCs/>
                <w:sz w:val="20"/>
                <w:szCs w:val="20"/>
              </w:rPr>
              <w:t xml:space="preserve"> associated with RI=</w:t>
            </w:r>
            <w:r w:rsidRPr="000F5946">
              <w:rPr>
                <w:i/>
                <w:iCs/>
                <w:sz w:val="20"/>
                <w:szCs w:val="20"/>
              </w:rPr>
              <w:t xml:space="preserve">v </w:t>
            </w:r>
            <m:oMath>
              <m:r>
                <w:rPr>
                  <w:rFonts w:ascii="Cambria Math" w:hAnsi="Cambria Math"/>
                  <w:sz w:val="20"/>
                  <w:szCs w:val="20"/>
                </w:rPr>
                <m:t>∈</m:t>
              </m:r>
            </m:oMath>
            <w:r w:rsidRPr="000F5946">
              <w:rPr>
                <w:iCs/>
                <w:sz w:val="20"/>
                <w:szCs w:val="20"/>
              </w:rPr>
              <w:t>{2} for the 3-bit scaling factor(s), decide, by RAN1#119, from the following alternatives:</w:t>
            </w:r>
          </w:p>
          <w:p w:rsidR="00D6117B" w:rsidRPr="000F5946" w:rsidRDefault="00D6117B" w:rsidP="00D6117B">
            <w:pPr>
              <w:pStyle w:val="ListParagraph"/>
              <w:numPr>
                <w:ilvl w:val="0"/>
                <w:numId w:val="1052"/>
              </w:numPr>
              <w:snapToGrid w:val="0"/>
              <w:ind w:leftChars="0" w:left="400" w:hanging="400"/>
              <w:jc w:val="both"/>
              <w:rPr>
                <w:rFonts w:eastAsia="DengXian"/>
                <w:bCs/>
                <w:szCs w:val="20"/>
                <w:lang w:val="de-DE" w:eastAsia="zh-CN"/>
              </w:rPr>
            </w:pPr>
            <w:r w:rsidRPr="000F5946">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0F5946">
              <w:rPr>
                <w:rFonts w:eastAsia="DengXian"/>
                <w:bCs/>
                <w:iCs/>
                <w:szCs w:val="20"/>
                <w:lang w:val="de-DE"/>
              </w:rPr>
              <w:t xml:space="preserve"> </w:t>
            </w:r>
          </w:p>
          <w:p w:rsidR="00D6117B" w:rsidRPr="000F5946" w:rsidRDefault="00D6117B" w:rsidP="00D6117B">
            <w:pPr>
              <w:pStyle w:val="ListParagraph"/>
              <w:numPr>
                <w:ilvl w:val="0"/>
                <w:numId w:val="1052"/>
              </w:numPr>
              <w:snapToGrid w:val="0"/>
              <w:ind w:leftChars="0" w:left="400" w:hanging="400"/>
              <w:jc w:val="both"/>
              <w:rPr>
                <w:rFonts w:eastAsia="DengXian"/>
                <w:bCs/>
                <w:szCs w:val="20"/>
                <w:lang w:val="de-DE" w:eastAsia="zh-CN"/>
              </w:rPr>
            </w:pPr>
            <w:r w:rsidRPr="000F5946">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0F5946">
              <w:rPr>
                <w:bCs/>
                <w:szCs w:val="20"/>
                <w:lang w:val="de-DE"/>
              </w:rPr>
              <w:t xml:space="preserve"> </w:t>
            </w:r>
          </w:p>
          <w:p w:rsidR="00D6117B" w:rsidRPr="000F5946" w:rsidRDefault="00D6117B" w:rsidP="00D6117B">
            <w:pPr>
              <w:pStyle w:val="ListParagraph"/>
              <w:numPr>
                <w:ilvl w:val="0"/>
                <w:numId w:val="1052"/>
              </w:numPr>
              <w:snapToGrid w:val="0"/>
              <w:ind w:leftChars="0" w:left="400" w:hanging="400"/>
              <w:jc w:val="both"/>
              <w:rPr>
                <w:bCs/>
                <w:szCs w:val="20"/>
                <w:lang w:eastAsia="zh-CN"/>
              </w:rPr>
            </w:pPr>
            <w:r w:rsidRPr="000F5946">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rsidR="00D6117B" w:rsidRPr="000F5946" w:rsidRDefault="00D6117B" w:rsidP="00D6117B">
            <w:pPr>
              <w:pStyle w:val="ListParagraph"/>
              <w:numPr>
                <w:ilvl w:val="0"/>
                <w:numId w:val="1052"/>
              </w:numPr>
              <w:snapToGrid w:val="0"/>
              <w:ind w:leftChars="0" w:left="400" w:hanging="400"/>
              <w:jc w:val="both"/>
              <w:rPr>
                <w:bCs/>
                <w:szCs w:val="20"/>
                <w:lang w:eastAsia="zh-CN"/>
              </w:rPr>
            </w:pPr>
            <w:r w:rsidRPr="000F5946">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sidRPr="000F5946">
              <w:rPr>
                <w:rFonts w:eastAsia="DengXian"/>
                <w:bCs/>
                <w:iCs/>
                <w:szCs w:val="20"/>
              </w:rPr>
              <w:t xml:space="preserve">  </w:t>
            </w:r>
          </w:p>
          <w:p w:rsidR="00D6117B" w:rsidRPr="000F5946" w:rsidRDefault="00D6117B" w:rsidP="00D6117B">
            <w:pPr>
              <w:pStyle w:val="ListParagraph"/>
              <w:numPr>
                <w:ilvl w:val="0"/>
                <w:numId w:val="1052"/>
              </w:numPr>
              <w:snapToGrid w:val="0"/>
              <w:ind w:leftChars="0" w:left="400" w:hanging="400"/>
              <w:jc w:val="both"/>
              <w:rPr>
                <w:bCs/>
                <w:szCs w:val="20"/>
                <w:lang w:val="de-DE" w:eastAsia="zh-CN"/>
              </w:rPr>
            </w:pPr>
            <w:r w:rsidRPr="000F5946">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rsidR="00D6117B" w:rsidRPr="000F5946" w:rsidRDefault="00D6117B" w:rsidP="00D6117B">
            <w:pPr>
              <w:pStyle w:val="ListParagraph"/>
              <w:numPr>
                <w:ilvl w:val="0"/>
                <w:numId w:val="1052"/>
              </w:numPr>
              <w:snapToGrid w:val="0"/>
              <w:ind w:leftChars="0" w:left="400" w:hanging="400"/>
              <w:jc w:val="both"/>
              <w:rPr>
                <w:bCs/>
                <w:szCs w:val="20"/>
                <w:lang w:eastAsia="zh-CN"/>
              </w:rPr>
            </w:pPr>
            <w:r w:rsidRPr="000F5946">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rsidR="00D6117B" w:rsidRPr="000F5946" w:rsidRDefault="00D6117B" w:rsidP="00D6117B">
            <w:pPr>
              <w:pStyle w:val="ListParagraph"/>
              <w:numPr>
                <w:ilvl w:val="0"/>
                <w:numId w:val="1052"/>
              </w:numPr>
              <w:snapToGrid w:val="0"/>
              <w:ind w:leftChars="0" w:left="400" w:hanging="400"/>
              <w:jc w:val="both"/>
              <w:rPr>
                <w:bCs/>
                <w:szCs w:val="20"/>
                <w:lang w:eastAsia="zh-CN"/>
              </w:rPr>
            </w:pPr>
            <w:r w:rsidRPr="000F5946">
              <w:rPr>
                <w:rFonts w:eastAsia="DengXian"/>
                <w:bCs/>
                <w:szCs w:val="20"/>
                <w:lang w:eastAsia="zh-CN"/>
              </w:rPr>
              <w:t>A</w:t>
            </w:r>
            <w:r w:rsidRPr="000F5946">
              <w:rPr>
                <w:rFonts w:eastAsia="DengXian" w:hint="eastAsia"/>
                <w:bCs/>
                <w:szCs w:val="20"/>
                <w:lang w:eastAsia="zh-CN"/>
              </w:rPr>
              <w:t>lt</w:t>
            </w:r>
            <w:r w:rsidRPr="000F5946">
              <w:rPr>
                <w:rFonts w:eastAsia="DengXian"/>
                <w:bCs/>
                <w:szCs w:val="20"/>
                <w:lang w:eastAsia="zh-CN"/>
              </w:rPr>
              <w:t xml:space="preserve">7: </w:t>
            </w:r>
          </w:p>
          <w:p w:rsidR="00D6117B" w:rsidRPr="000F5946" w:rsidRDefault="00D6117B" w:rsidP="00D6117B">
            <w:pPr>
              <w:pStyle w:val="ListParagraph"/>
              <w:numPr>
                <w:ilvl w:val="1"/>
                <w:numId w:val="1052"/>
              </w:numPr>
              <w:snapToGrid w:val="0"/>
              <w:ind w:leftChars="0" w:left="400" w:hanging="400"/>
              <w:jc w:val="both"/>
              <w:rPr>
                <w:bCs/>
                <w:szCs w:val="20"/>
                <w:lang w:eastAsia="zh-CN"/>
              </w:rPr>
            </w:pPr>
            <w:r w:rsidRPr="000F5946">
              <w:rPr>
                <w:rFonts w:eastAsia="DengXian"/>
                <w:bCs/>
                <w:szCs w:val="20"/>
                <w:lang w:eastAsia="zh-CN"/>
              </w:rPr>
              <w:t>if two different vectors for</w:t>
            </w:r>
            <w:r w:rsidRPr="000F5946">
              <w:rPr>
                <w:rFonts w:ascii="Cambria Math" w:hAnsi="Cambria Math"/>
                <w:szCs w:val="20"/>
              </w:rPr>
              <w:t xml:space="preserve"> </w:t>
            </w:r>
            <m:oMath>
              <m:r>
                <m:rPr>
                  <m:sty m:val="p"/>
                </m:rPr>
                <w:rPr>
                  <w:rFonts w:ascii="Cambria Math" w:hAnsi="Cambria Math"/>
                  <w:szCs w:val="20"/>
                </w:rPr>
                <m:t>υ=2</m:t>
              </m:r>
            </m:oMath>
            <w:r w:rsidRPr="000F5946">
              <w:rPr>
                <w:rFonts w:ascii="Cambria Math" w:hAnsi="Cambria Math"/>
                <w:szCs w:val="20"/>
              </w:rPr>
              <w:t>,</w:t>
            </w:r>
            <w:r w:rsidRPr="000F5946">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0F5946">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0F5946">
              <w:rPr>
                <w:rFonts w:eastAsia="DengXian" w:hint="eastAsia"/>
                <w:bCs/>
                <w:iCs/>
                <w:szCs w:val="20"/>
                <w:lang w:eastAsia="zh-CN"/>
              </w:rPr>
              <w:t>,</w:t>
            </w:r>
            <w:r w:rsidRPr="000F5946">
              <w:rPr>
                <w:rFonts w:eastAsia="DengXian"/>
                <w:bCs/>
                <w:szCs w:val="20"/>
              </w:rPr>
              <w:t xml:space="preserve"> </w:t>
            </w:r>
            <w:r w:rsidRPr="000F5946">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0F5946">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0F5946">
              <w:rPr>
                <w:rFonts w:eastAsia="DengXian"/>
                <w:bCs/>
                <w:szCs w:val="20"/>
              </w:rPr>
              <w:t xml:space="preserve">; </w:t>
            </w:r>
          </w:p>
          <w:p w:rsidR="00D6117B" w:rsidRPr="000F5946" w:rsidRDefault="00D6117B" w:rsidP="00D6117B">
            <w:pPr>
              <w:pStyle w:val="ListParagraph"/>
              <w:numPr>
                <w:ilvl w:val="1"/>
                <w:numId w:val="1052"/>
              </w:numPr>
              <w:snapToGrid w:val="0"/>
              <w:ind w:leftChars="0" w:left="400" w:hanging="400"/>
              <w:jc w:val="both"/>
              <w:rPr>
                <w:bCs/>
                <w:szCs w:val="20"/>
                <w:lang w:eastAsia="zh-CN"/>
              </w:rPr>
            </w:pPr>
            <w:r w:rsidRPr="000F5946">
              <w:rPr>
                <w:rFonts w:eastAsia="DengXian"/>
                <w:bCs/>
                <w:szCs w:val="20"/>
              </w:rPr>
              <w:t>otherwise (</w:t>
            </w:r>
            <m:oMath>
              <m:r>
                <m:rPr>
                  <m:sty m:val="p"/>
                </m:rPr>
                <w:rPr>
                  <w:rFonts w:ascii="Cambria Math" w:hAnsi="Cambria Math"/>
                  <w:szCs w:val="20"/>
                </w:rPr>
                <m:t>υ=1</m:t>
              </m:r>
            </m:oMath>
            <w:r w:rsidRPr="000F5946">
              <w:rPr>
                <w:rFonts w:eastAsia="DengXian"/>
                <w:szCs w:val="20"/>
              </w:rPr>
              <w:t xml:space="preserve"> or one same vector for </w:t>
            </w:r>
            <m:oMath>
              <m:r>
                <m:rPr>
                  <m:sty m:val="p"/>
                </m:rPr>
                <w:rPr>
                  <w:rFonts w:ascii="Cambria Math" w:hAnsi="Cambria Math"/>
                  <w:szCs w:val="20"/>
                </w:rPr>
                <m:t>υ=2</m:t>
              </m:r>
            </m:oMath>
            <w:r w:rsidRPr="000F5946">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0F5946">
              <w:rPr>
                <w:rFonts w:eastAsia="DengXian"/>
                <w:bCs/>
                <w:iCs/>
                <w:szCs w:val="20"/>
              </w:rPr>
              <w:t xml:space="preserve"> for the vector</w:t>
            </w:r>
          </w:p>
          <w:p w:rsidR="00D6117B" w:rsidRPr="000F5946" w:rsidRDefault="00D6117B" w:rsidP="00D6117B">
            <w:pPr>
              <w:snapToGrid w:val="0"/>
              <w:jc w:val="both"/>
              <w:rPr>
                <w:rFonts w:eastAsia="DengXian"/>
                <w:bCs/>
                <w:sz w:val="20"/>
                <w:szCs w:val="20"/>
              </w:rPr>
            </w:pPr>
            <w:r w:rsidRPr="000F5946">
              <w:rPr>
                <w:rFonts w:eastAsia="DengXian"/>
                <w:bCs/>
                <w:sz w:val="20"/>
                <w:szCs w:val="20"/>
              </w:rPr>
              <w:t>Where r</w:t>
            </w:r>
            <w:r w:rsidRPr="000F5946">
              <w:rPr>
                <w:rFonts w:eastAsia="DengXian"/>
                <w:bCs/>
                <w:sz w:val="20"/>
                <w:szCs w:val="20"/>
                <w:vertAlign w:val="subscript"/>
              </w:rPr>
              <w:t>i</w:t>
            </w:r>
            <w:r w:rsidRPr="000F5946">
              <w:rPr>
                <w:rFonts w:eastAsia="DengXian"/>
                <w:bCs/>
                <w:sz w:val="20"/>
                <w:szCs w:val="20"/>
              </w:rPr>
              <w:t xml:space="preserve"> denotes the number of layers associated with the i-th SD basis vector.</w:t>
            </w:r>
          </w:p>
          <w:p w:rsidR="00D6117B" w:rsidRPr="000F5946" w:rsidRDefault="00D6117B" w:rsidP="00D6117B">
            <w:pPr>
              <w:snapToGrid w:val="0"/>
              <w:jc w:val="both"/>
              <w:rPr>
                <w:rFonts w:eastAsia="DengXian"/>
                <w:bCs/>
                <w:sz w:val="20"/>
                <w:szCs w:val="20"/>
              </w:rPr>
            </w:pPr>
            <w:r w:rsidRPr="000F5946">
              <w:rPr>
                <w:rFonts w:eastAsia="DengXian"/>
                <w:bCs/>
                <w:sz w:val="20"/>
                <w:szCs w:val="20"/>
              </w:rPr>
              <w:t>The same scheme applies to both Mode-A and Mode-B.</w:t>
            </w:r>
          </w:p>
          <w:p w:rsidR="00D6117B" w:rsidRPr="000F5946" w:rsidRDefault="00D6117B" w:rsidP="00D6117B">
            <w:pPr>
              <w:snapToGrid w:val="0"/>
              <w:jc w:val="both"/>
              <w:rPr>
                <w:iCs/>
                <w:sz w:val="20"/>
                <w:szCs w:val="20"/>
              </w:rPr>
            </w:pPr>
            <w:r w:rsidRPr="000F5946">
              <w:rPr>
                <w:iCs/>
                <w:sz w:val="20"/>
                <w:szCs w:val="20"/>
              </w:rPr>
              <w:t xml:space="preserve">Note: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i</m:t>
                  </m:r>
                </m:sub>
              </m:sSub>
              <m:r>
                <w:rPr>
                  <w:rFonts w:ascii="Cambria Math" w:hAnsi="Cambria Math"/>
                  <w:sz w:val="20"/>
                  <w:szCs w:val="20"/>
                </w:rPr>
                <m:t>∈</m:t>
              </m:r>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2</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3</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4</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6</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8</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12</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16</m:t>
                          </m:r>
                        </m:den>
                      </m:f>
                    </m:e>
                  </m:rad>
                </m:e>
              </m:d>
            </m:oMath>
            <w:r w:rsidRPr="000F5946">
              <w:rPr>
                <w:iCs/>
                <w:sz w:val="20"/>
                <w:szCs w:val="20"/>
              </w:rPr>
              <w:t xml:space="preserve"> as agreed in RAN1#117.</w:t>
            </w:r>
          </w:p>
          <w:p w:rsidR="00D6117B" w:rsidRPr="000F5946" w:rsidRDefault="00D6117B" w:rsidP="00D6117B">
            <w:pPr>
              <w:snapToGrid w:val="0"/>
              <w:jc w:val="both"/>
              <w:rPr>
                <w:iCs/>
                <w:sz w:val="20"/>
                <w:szCs w:val="20"/>
              </w:rPr>
            </w:pPr>
            <w:r w:rsidRPr="000F5946">
              <w:rPr>
                <w:iCs/>
                <w:sz w:val="20"/>
                <w:szCs w:val="20"/>
              </w:rPr>
              <w:t>Normalization of precoder should be taken into account in the final specification design.</w:t>
            </w:r>
          </w:p>
          <w:p w:rsidR="00D6117B" w:rsidRPr="000F5946" w:rsidRDefault="00D6117B" w:rsidP="00D6117B">
            <w:pPr>
              <w:rPr>
                <w:i/>
                <w:sz w:val="20"/>
                <w:szCs w:val="20"/>
                <w:lang w:eastAsia="x-none"/>
              </w:rPr>
            </w:pPr>
          </w:p>
          <w:p w:rsidR="00D6117B" w:rsidRPr="000F5946" w:rsidRDefault="00D6117B" w:rsidP="00D6117B">
            <w:pPr>
              <w:rPr>
                <w:i/>
                <w:sz w:val="20"/>
                <w:szCs w:val="20"/>
                <w:lang w:eastAsia="x-none"/>
              </w:rPr>
            </w:pPr>
          </w:p>
          <w:p w:rsidR="00D6117B" w:rsidRPr="000F5946" w:rsidRDefault="00D6117B" w:rsidP="00D6117B">
            <w:pPr>
              <w:rPr>
                <w:rFonts w:eastAsia="Malgun Gothic"/>
                <w:sz w:val="20"/>
                <w:szCs w:val="20"/>
                <w:lang w:eastAsia="zh-TW"/>
              </w:rPr>
            </w:pPr>
            <w:r w:rsidRPr="000F5946">
              <w:rPr>
                <w:rFonts w:eastAsia="DengXian"/>
                <w:b/>
                <w:bCs/>
                <w:sz w:val="20"/>
                <w:szCs w:val="20"/>
              </w:rPr>
              <w:t>Conclusion</w:t>
            </w:r>
          </w:p>
          <w:p w:rsidR="00D6117B" w:rsidRPr="000F5946" w:rsidRDefault="00D6117B" w:rsidP="00D6117B">
            <w:pPr>
              <w:rPr>
                <w:rFonts w:eastAsia="Malgun Gothic"/>
                <w:sz w:val="20"/>
                <w:szCs w:val="20"/>
                <w:lang w:eastAsia="zh-TW"/>
              </w:rPr>
            </w:pPr>
            <w:r w:rsidRPr="000F5946">
              <w:rPr>
                <w:rFonts w:eastAsia="Malgun Gothic"/>
                <w:sz w:val="20"/>
                <w:szCs w:val="20"/>
                <w:lang w:eastAsia="zh-TW"/>
              </w:rPr>
              <w:t>For a UE configured with a total of P</w:t>
            </w:r>
            <w:r w:rsidRPr="000F5946">
              <w:rPr>
                <w:rFonts w:eastAsia="Malgun Gothic"/>
                <w:sz w:val="20"/>
                <w:szCs w:val="20"/>
                <w:vertAlign w:val="subscript"/>
                <w:lang w:eastAsia="zh-TW"/>
              </w:rPr>
              <w:t>SRS</w:t>
            </w:r>
            <w:r w:rsidRPr="000F5946">
              <w:rPr>
                <w:rFonts w:eastAsia="Malgun Gothic"/>
                <w:sz w:val="20"/>
                <w:szCs w:val="20"/>
                <w:lang w:eastAsia="zh-TW"/>
              </w:rPr>
              <w:t>=6 or 8 ports across ≥1 SRS resources</w:t>
            </w:r>
            <w:r w:rsidRPr="000F5946">
              <w:rPr>
                <w:sz w:val="20"/>
                <w:szCs w:val="20"/>
              </w:rPr>
              <w:t xml:space="preserve"> </w:t>
            </w:r>
            <w:r w:rsidRPr="000F5946">
              <w:rPr>
                <w:rFonts w:eastAsia="Malgun Gothic"/>
                <w:sz w:val="20"/>
                <w:szCs w:val="20"/>
                <w:lang w:eastAsia="zh-TW"/>
              </w:rPr>
              <w:t xml:space="preserve">for antenna switching intended for xT6R or xT8R, respectively, when SRS port grouping is configured, regarding the </w:t>
            </w:r>
            <w:r w:rsidRPr="000F5946">
              <w:rPr>
                <w:sz w:val="20"/>
                <w:szCs w:val="20"/>
              </w:rPr>
              <w:t xml:space="preserve">mapping between CSI-RS ports and SRS port groups, </w:t>
            </w:r>
            <w:r w:rsidRPr="000F5946">
              <w:rPr>
                <w:rFonts w:eastAsia="Malgun Gothic"/>
                <w:sz w:val="20"/>
                <w:szCs w:val="20"/>
                <w:lang w:eastAsia="zh-TW"/>
              </w:rPr>
              <w:t>no additional specification support is introduced</w:t>
            </w:r>
          </w:p>
          <w:p w:rsidR="00D6117B" w:rsidRPr="000F5946" w:rsidRDefault="00D6117B" w:rsidP="00D6117B">
            <w:pPr>
              <w:pStyle w:val="ListParagraph"/>
              <w:numPr>
                <w:ilvl w:val="0"/>
                <w:numId w:val="983"/>
              </w:numPr>
              <w:ind w:leftChars="0" w:left="400" w:hanging="400"/>
              <w:rPr>
                <w:rFonts w:eastAsia="Malgun Gothic"/>
                <w:szCs w:val="20"/>
                <w:lang w:eastAsia="zh-TW"/>
              </w:rPr>
            </w:pPr>
            <w:r w:rsidRPr="000F5946">
              <w:rPr>
                <w:rFonts w:eastAsia="Malgun Gothic"/>
                <w:szCs w:val="20"/>
                <w:lang w:eastAsia="zh-TW"/>
              </w:rPr>
              <w:t>It is up to gNB implementation to ensure adequate operation of this feature</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jc w:val="both"/>
              <w:rPr>
                <w:rFonts w:eastAsia="SimSun"/>
                <w:sz w:val="20"/>
                <w:szCs w:val="20"/>
                <w:lang w:eastAsia="zh-TW"/>
              </w:rPr>
            </w:pPr>
            <w:r w:rsidRPr="000F5946">
              <w:rPr>
                <w:rFonts w:eastAsia="SimSun"/>
                <w:sz w:val="20"/>
                <w:szCs w:val="20"/>
                <w:lang w:eastAsia="zh-TW"/>
              </w:rPr>
              <w:lastRenderedPageBreak/>
              <w:t xml:space="preserve">For the Rel-19 Type-I SP codebook refinement for P </w:t>
            </w:r>
            <w:r w:rsidRPr="000F5946">
              <w:rPr>
                <w:rFonts w:eastAsia="SimSun" w:cs="Times"/>
                <w:sz w:val="20"/>
                <w:szCs w:val="20"/>
                <w:lang w:eastAsia="zh-TW"/>
              </w:rPr>
              <w:t>(the total number of aggregated ports)</w:t>
            </w:r>
            <w:r w:rsidRPr="000F5946">
              <w:rPr>
                <w:rFonts w:eastAsia="SimSun"/>
                <w:sz w:val="20"/>
                <w:szCs w:val="20"/>
                <w:lang w:eastAsia="zh-TW"/>
              </w:rPr>
              <w:t xml:space="preserve">=48, 64, 128 CSI-RS ports, regarding CPU occupation for the </w:t>
            </w:r>
            <w:r w:rsidRPr="000F5946">
              <w:rPr>
                <w:rFonts w:eastAsia="SimSun"/>
                <w:sz w:val="20"/>
                <w:szCs w:val="20"/>
              </w:rPr>
              <w:t xml:space="preserve">port subset indication for the SD NES Type-1, </w:t>
            </w:r>
          </w:p>
          <w:tbl>
            <w:tblPr>
              <w:tblStyle w:val="TableGrid"/>
              <w:tblW w:w="0" w:type="auto"/>
              <w:tblInd w:w="243" w:type="dxa"/>
              <w:tblLook w:val="04A0" w:firstRow="1" w:lastRow="0" w:firstColumn="1" w:lastColumn="0" w:noHBand="0" w:noVBand="1"/>
            </w:tblPr>
            <w:tblGrid>
              <w:gridCol w:w="2674"/>
              <w:gridCol w:w="2917"/>
              <w:gridCol w:w="2347"/>
            </w:tblGrid>
            <w:tr w:rsidR="00D6117B" w:rsidRPr="000F5946" w:rsidTr="00831FE6">
              <w:tc>
                <w:tcPr>
                  <w:tcW w:w="2674" w:type="dxa"/>
                  <w:tcBorders>
                    <w:top w:val="single" w:sz="4" w:space="0" w:color="auto"/>
                    <w:left w:val="single" w:sz="4" w:space="0" w:color="auto"/>
                    <w:bottom w:val="single" w:sz="4" w:space="0" w:color="auto"/>
                    <w:right w:val="single" w:sz="4" w:space="0" w:color="auto"/>
                  </w:tcBorders>
                </w:tcPr>
                <w:p w:rsidR="00D6117B" w:rsidRPr="000F5946" w:rsidRDefault="00D6117B" w:rsidP="00D6117B">
                  <w:pPr>
                    <w:jc w:val="center"/>
                    <w:rPr>
                      <w:rFonts w:eastAsiaTheme="minorEastAsia" w:cs="Times"/>
                      <w:color w:val="000000" w:themeColor="text1"/>
                    </w:rPr>
                  </w:pPr>
                </w:p>
              </w:tc>
              <w:tc>
                <w:tcPr>
                  <w:tcW w:w="2917" w:type="dxa"/>
                  <w:tcBorders>
                    <w:top w:val="single" w:sz="4" w:space="0" w:color="auto"/>
                    <w:left w:val="single" w:sz="4" w:space="0" w:color="auto"/>
                    <w:bottom w:val="single" w:sz="4" w:space="0" w:color="auto"/>
                    <w:right w:val="single" w:sz="4" w:space="0" w:color="auto"/>
                  </w:tcBorders>
                  <w:hideMark/>
                </w:tcPr>
                <w:p w:rsidR="00D6117B" w:rsidRPr="000F5946" w:rsidRDefault="00D6117B" w:rsidP="00D6117B">
                  <w:pPr>
                    <w:jc w:val="center"/>
                    <w:rPr>
                      <w:rFonts w:eastAsiaTheme="minorEastAsia" w:cs="Times"/>
                      <w:color w:val="000000" w:themeColor="text1"/>
                    </w:rPr>
                  </w:pPr>
                  <w:r w:rsidRPr="000F5946">
                    <w:rPr>
                      <w:rFonts w:eastAsiaTheme="minorEastAsia" w:cs="Times"/>
                      <w:color w:val="000000" w:themeColor="text1"/>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rsidR="00D6117B" w:rsidRPr="000F5946" w:rsidRDefault="00D6117B" w:rsidP="00D6117B">
                  <w:pPr>
                    <w:jc w:val="center"/>
                    <w:rPr>
                      <w:rFonts w:eastAsiaTheme="minorEastAsia" w:cs="Times"/>
                      <w:color w:val="000000" w:themeColor="text1"/>
                    </w:rPr>
                  </w:pPr>
                  <w:r w:rsidRPr="000F5946">
                    <w:rPr>
                      <w:rFonts w:eastAsiaTheme="minorEastAsia" w:cs="Times"/>
                      <w:color w:val="000000" w:themeColor="text1"/>
                    </w:rPr>
                    <w:t>Timeline capability 2</w:t>
                  </w:r>
                </w:p>
              </w:tc>
            </w:tr>
            <w:tr w:rsidR="00D6117B" w:rsidRPr="000F5946" w:rsidTr="00831FE6">
              <w:tc>
                <w:tcPr>
                  <w:tcW w:w="2674" w:type="dxa"/>
                  <w:tcBorders>
                    <w:top w:val="single" w:sz="4" w:space="0" w:color="auto"/>
                    <w:left w:val="single" w:sz="4" w:space="0" w:color="auto"/>
                    <w:bottom w:val="single" w:sz="4" w:space="0" w:color="auto"/>
                    <w:right w:val="single" w:sz="4" w:space="0" w:color="auto"/>
                  </w:tcBorders>
                  <w:hideMark/>
                </w:tcPr>
                <w:p w:rsidR="00D6117B" w:rsidRPr="000F5946" w:rsidRDefault="00D6117B" w:rsidP="00D6117B">
                  <w:pPr>
                    <w:jc w:val="both"/>
                    <w:rPr>
                      <w:rFonts w:eastAsiaTheme="minorEastAsia" w:cs="Times"/>
                      <w:color w:val="000000" w:themeColor="text1"/>
                    </w:rPr>
                  </w:pPr>
                  <w:r w:rsidRPr="000F5946">
                    <w:rPr>
                      <w:rFonts w:eastAsiaTheme="minorEastAsia" w:cs="Times"/>
                      <w:color w:val="000000" w:themeColor="text1"/>
                    </w:rPr>
                    <w:t>P-report (L subConfigs)</w:t>
                  </w:r>
                </w:p>
              </w:tc>
              <w:tc>
                <w:tcPr>
                  <w:tcW w:w="2917" w:type="dxa"/>
                  <w:tcBorders>
                    <w:top w:val="single" w:sz="4" w:space="0" w:color="auto"/>
                    <w:left w:val="single" w:sz="4" w:space="0" w:color="auto"/>
                    <w:bottom w:val="single" w:sz="4" w:space="0" w:color="auto"/>
                    <w:right w:val="single" w:sz="4" w:space="0" w:color="auto"/>
                  </w:tcBorders>
                  <w:hideMark/>
                </w:tcPr>
                <w:p w:rsidR="00D6117B" w:rsidRPr="000F5946" w:rsidRDefault="00000000" w:rsidP="00D6117B">
                  <w:pPr>
                    <w:jc w:val="center"/>
                    <w:rPr>
                      <w:rFonts w:eastAsiaTheme="minorEastAsia" w:cs="Times"/>
                      <w:color w:val="000000" w:themeColor="text1"/>
                    </w:rPr>
                  </w:pPr>
                  <m:oMathPara>
                    <m:oMath>
                      <m:sSub>
                        <m:sSubPr>
                          <m:ctrlPr>
                            <w:rPr>
                              <w:rFonts w:ascii="Cambria Math" w:eastAsiaTheme="minorEastAsia" w:hAnsi="Cambria Math"/>
                              <w:bCs/>
                              <w:i/>
                              <w:iCs/>
                            </w:rPr>
                          </m:ctrlPr>
                        </m:sSubPr>
                        <m:e>
                          <m:r>
                            <w:rPr>
                              <w:rFonts w:ascii="Cambria Math" w:eastAsiaTheme="minorEastAsia" w:hAnsi="Cambria Math"/>
                              <w:lang w:val="zh-CN"/>
                            </w:rPr>
                            <m:t>O</m:t>
                          </m:r>
                        </m:e>
                        <m:sub>
                          <m:r>
                            <w:rPr>
                              <w:rFonts w:ascii="Cambria Math" w:eastAsiaTheme="minorEastAsia" w:hAnsi="Cambria Math"/>
                              <w:lang w:val="zh-CN"/>
                            </w:rPr>
                            <m:t>CPU</m:t>
                          </m:r>
                        </m:sub>
                      </m:sSub>
                      <m:r>
                        <m:rPr>
                          <m:sty m:val="p"/>
                        </m:rPr>
                        <w:rPr>
                          <w:rFonts w:ascii="Cambria Math" w:eastAsiaTheme="minorEastAsia" w:hAnsi="Cambria Math"/>
                        </w:rPr>
                        <m:t>=</m:t>
                      </m:r>
                      <m:r>
                        <w:rPr>
                          <w:rFonts w:ascii="Cambria Math" w:eastAsiaTheme="minorEastAsia" w:hAnsi="Cambria Math"/>
                        </w:rPr>
                        <m:t>L</m:t>
                      </m:r>
                    </m:oMath>
                  </m:oMathPara>
                </w:p>
              </w:tc>
              <w:tc>
                <w:tcPr>
                  <w:tcW w:w="2347" w:type="dxa"/>
                  <w:tcBorders>
                    <w:top w:val="single" w:sz="4" w:space="0" w:color="auto"/>
                    <w:left w:val="single" w:sz="4" w:space="0" w:color="auto"/>
                    <w:bottom w:val="single" w:sz="4" w:space="0" w:color="auto"/>
                    <w:right w:val="single" w:sz="4" w:space="0" w:color="auto"/>
                  </w:tcBorders>
                  <w:hideMark/>
                </w:tcPr>
                <w:p w:rsidR="00D6117B" w:rsidRPr="000F5946" w:rsidRDefault="00000000" w:rsidP="00D6117B">
                  <w:pPr>
                    <w:jc w:val="center"/>
                    <w:rPr>
                      <w:rFonts w:eastAsiaTheme="minorEastAsia" w:cs="Times"/>
                      <w:color w:val="000000" w:themeColor="text1"/>
                    </w:rPr>
                  </w:pPr>
                  <m:oMathPara>
                    <m:oMath>
                      <m:sSub>
                        <m:sSubPr>
                          <m:ctrlPr>
                            <w:rPr>
                              <w:rFonts w:ascii="Cambria Math" w:eastAsiaTheme="minorEastAsia" w:hAnsi="Cambria Math"/>
                              <w:bCs/>
                              <w:i/>
                              <w:iCs/>
                            </w:rPr>
                          </m:ctrlPr>
                        </m:sSubPr>
                        <m:e>
                          <m:r>
                            <w:rPr>
                              <w:rFonts w:ascii="Cambria Math" w:eastAsiaTheme="minorEastAsia" w:hAnsi="Cambria Math"/>
                              <w:lang w:val="zh-CN"/>
                            </w:rPr>
                            <m:t>O</m:t>
                          </m:r>
                        </m:e>
                        <m:sub>
                          <m:r>
                            <w:rPr>
                              <w:rFonts w:ascii="Cambria Math" w:eastAsiaTheme="minorEastAsia" w:hAnsi="Cambria Math"/>
                              <w:lang w:val="zh-CN"/>
                            </w:rPr>
                            <m:t>CPU</m:t>
                          </m:r>
                        </m:sub>
                      </m:sSub>
                      <m:r>
                        <m:rPr>
                          <m:sty m:val="p"/>
                        </m:rPr>
                        <w:rPr>
                          <w:rFonts w:ascii="Cambria Math" w:eastAsiaTheme="minorEastAsia" w:hAnsi="Cambria Math"/>
                        </w:rPr>
                        <m:t>=</m:t>
                      </m:r>
                      <m:r>
                        <w:rPr>
                          <w:rFonts w:ascii="Cambria Math" w:eastAsiaTheme="minorEastAsia" w:hAnsi="Cambria Math"/>
                        </w:rPr>
                        <m:t>L</m:t>
                      </m:r>
                    </m:oMath>
                  </m:oMathPara>
                </w:p>
              </w:tc>
            </w:tr>
            <w:tr w:rsidR="00D6117B" w:rsidRPr="000F5946" w:rsidTr="00831FE6">
              <w:tc>
                <w:tcPr>
                  <w:tcW w:w="2674" w:type="dxa"/>
                  <w:tcBorders>
                    <w:top w:val="single" w:sz="4" w:space="0" w:color="auto"/>
                    <w:left w:val="single" w:sz="4" w:space="0" w:color="auto"/>
                    <w:bottom w:val="single" w:sz="4" w:space="0" w:color="auto"/>
                    <w:right w:val="single" w:sz="4" w:space="0" w:color="auto"/>
                  </w:tcBorders>
                  <w:hideMark/>
                </w:tcPr>
                <w:p w:rsidR="00D6117B" w:rsidRPr="000F5946" w:rsidRDefault="00D6117B" w:rsidP="00D6117B">
                  <w:pPr>
                    <w:jc w:val="both"/>
                    <w:rPr>
                      <w:rFonts w:eastAsiaTheme="minorEastAsia" w:cs="Times"/>
                      <w:color w:val="000000" w:themeColor="text1"/>
                    </w:rPr>
                  </w:pPr>
                  <w:r w:rsidRPr="000F5946">
                    <w:rPr>
                      <w:rFonts w:eastAsiaTheme="minorEastAsia" w:cs="Times"/>
                      <w:color w:val="000000" w:themeColor="text1"/>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rsidR="00D6117B" w:rsidRPr="000F5946" w:rsidRDefault="00000000" w:rsidP="00D6117B">
                  <w:pPr>
                    <w:jc w:val="center"/>
                    <w:rPr>
                      <w:rFonts w:eastAsiaTheme="minorEastAsia" w:cs="Times"/>
                      <w:color w:val="000000" w:themeColor="text1"/>
                    </w:rPr>
                  </w:pPr>
                  <m:oMathPara>
                    <m:oMath>
                      <m:sSub>
                        <m:sSubPr>
                          <m:ctrlPr>
                            <w:rPr>
                              <w:rFonts w:ascii="Cambria Math" w:eastAsiaTheme="minorEastAsia" w:hAnsi="Cambria Math"/>
                              <w:bCs/>
                              <w:i/>
                              <w:iCs/>
                            </w:rPr>
                          </m:ctrlPr>
                        </m:sSubPr>
                        <m:e>
                          <m:r>
                            <w:rPr>
                              <w:rFonts w:ascii="Cambria Math" w:eastAsiaTheme="minorEastAsia" w:hAnsi="Cambria Math"/>
                              <w:lang w:val="zh-CN"/>
                            </w:rPr>
                            <m:t>O</m:t>
                          </m:r>
                        </m:e>
                        <m:sub>
                          <m:r>
                            <w:rPr>
                              <w:rFonts w:ascii="Cambria Math" w:eastAsiaTheme="minorEastAsia" w:hAnsi="Cambria Math"/>
                              <w:lang w:val="zh-CN"/>
                            </w:rPr>
                            <m:t>CPU</m:t>
                          </m:r>
                        </m:sub>
                      </m:sSub>
                      <m:r>
                        <m:rPr>
                          <m:sty m:val="p"/>
                        </m:rPr>
                        <w:rPr>
                          <w:rFonts w:ascii="Cambria Math" w:eastAsiaTheme="minorEastAsia" w:hAnsi="Cambria Math"/>
                        </w:rPr>
                        <m:t>=</m:t>
                      </m:r>
                      <m:r>
                        <w:rPr>
                          <w:rFonts w:ascii="Cambria Math" w:eastAsiaTheme="minorEastAsia" w:hAnsi="Cambria Math"/>
                        </w:rPr>
                        <m:t>N</m:t>
                      </m:r>
                    </m:oMath>
                  </m:oMathPara>
                </w:p>
              </w:tc>
              <w:tc>
                <w:tcPr>
                  <w:tcW w:w="2347" w:type="dxa"/>
                  <w:tcBorders>
                    <w:top w:val="single" w:sz="4" w:space="0" w:color="auto"/>
                    <w:left w:val="single" w:sz="4" w:space="0" w:color="auto"/>
                    <w:bottom w:val="single" w:sz="4" w:space="0" w:color="auto"/>
                    <w:right w:val="single" w:sz="4" w:space="0" w:color="auto"/>
                  </w:tcBorders>
                  <w:hideMark/>
                </w:tcPr>
                <w:p w:rsidR="00D6117B" w:rsidRPr="000F5946" w:rsidRDefault="00000000" w:rsidP="00D6117B">
                  <w:pPr>
                    <w:jc w:val="center"/>
                    <w:rPr>
                      <w:rFonts w:eastAsiaTheme="minorEastAsia" w:cs="Times"/>
                      <w:color w:val="000000" w:themeColor="text1"/>
                    </w:rPr>
                  </w:pPr>
                  <m:oMathPara>
                    <m:oMath>
                      <m:sSub>
                        <m:sSubPr>
                          <m:ctrlPr>
                            <w:rPr>
                              <w:rFonts w:ascii="Cambria Math" w:eastAsiaTheme="minorEastAsia" w:hAnsi="Cambria Math"/>
                              <w:bCs/>
                              <w:i/>
                              <w:iCs/>
                            </w:rPr>
                          </m:ctrlPr>
                        </m:sSubPr>
                        <m:e>
                          <m:r>
                            <w:rPr>
                              <w:rFonts w:ascii="Cambria Math" w:eastAsiaTheme="minorEastAsia" w:hAnsi="Cambria Math"/>
                              <w:lang w:val="zh-CN"/>
                            </w:rPr>
                            <m:t>O</m:t>
                          </m:r>
                        </m:e>
                        <m:sub>
                          <m:r>
                            <w:rPr>
                              <w:rFonts w:ascii="Cambria Math" w:eastAsiaTheme="minorEastAsia" w:hAnsi="Cambria Math"/>
                              <w:lang w:val="zh-CN"/>
                            </w:rPr>
                            <m:t>CPU</m:t>
                          </m:r>
                        </m:sub>
                      </m:sSub>
                      <m:r>
                        <m:rPr>
                          <m:sty m:val="p"/>
                        </m:rPr>
                        <w:rPr>
                          <w:rFonts w:ascii="Cambria Math" w:eastAsiaTheme="minorEastAsia" w:hAnsi="Cambria Math"/>
                        </w:rPr>
                        <m:t>=</m:t>
                      </m:r>
                      <m:r>
                        <w:rPr>
                          <w:rFonts w:ascii="Cambria Math" w:eastAsiaTheme="minorEastAsia" w:hAnsi="Cambria Math"/>
                        </w:rPr>
                        <m:t>N</m:t>
                      </m:r>
                    </m:oMath>
                  </m:oMathPara>
                </w:p>
              </w:tc>
            </w:tr>
          </w:tbl>
          <w:p w:rsidR="00D6117B" w:rsidRPr="000F5946" w:rsidRDefault="00D6117B" w:rsidP="00D6117B">
            <w:pPr>
              <w:snapToGrid w:val="0"/>
              <w:rPr>
                <w:b/>
                <w:bCs/>
                <w:color w:val="3333FF"/>
                <w:sz w:val="20"/>
                <w:szCs w:val="20"/>
              </w:rPr>
            </w:pP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rPr>
                <w:rFonts w:cs="Times"/>
                <w:sz w:val="20"/>
                <w:szCs w:val="20"/>
              </w:rPr>
            </w:pPr>
            <w:r w:rsidRPr="000F5946">
              <w:rPr>
                <w:rFonts w:cs="Times"/>
                <w:sz w:val="20"/>
                <w:szCs w:val="20"/>
              </w:rPr>
              <w:t xml:space="preserve">For the Rel-19 aperiodic standalone CJT calibration (CJTC) reporting, when linking CJTC Dd and Rel-18 eType-II CJT CSI reports is configured with two separate triggers, to indicate </w:t>
            </w:r>
            <w:r w:rsidRPr="000F5946">
              <w:rPr>
                <w:rFonts w:cs="Times"/>
                <w:i/>
                <w:sz w:val="20"/>
                <w:szCs w:val="20"/>
              </w:rPr>
              <w:t>whether or not</w:t>
            </w:r>
            <w:r w:rsidRPr="000F5946">
              <w:rPr>
                <w:rFonts w:cs="Times"/>
                <w:sz w:val="20"/>
                <w:szCs w:val="20"/>
              </w:rPr>
              <w:t xml:space="preserve"> the UE should perform delay offset (DO) compensation based on the latest linked CJTC Dd report when calculating the Rel-18 Type-II CJT CSI, introduce a 1-bit indicator per CSI trigger state:</w:t>
            </w:r>
          </w:p>
          <w:p w:rsidR="00D6117B" w:rsidRPr="000F5946" w:rsidRDefault="00D6117B" w:rsidP="00D6117B">
            <w:pPr>
              <w:pStyle w:val="ListParagraph"/>
              <w:numPr>
                <w:ilvl w:val="0"/>
                <w:numId w:val="1059"/>
              </w:numPr>
              <w:ind w:leftChars="0" w:left="400" w:hanging="400"/>
              <w:rPr>
                <w:rFonts w:cs="Times"/>
                <w:szCs w:val="20"/>
              </w:rPr>
            </w:pPr>
            <w:r w:rsidRPr="000F5946">
              <w:rPr>
                <w:rFonts w:cs="Times"/>
                <w:szCs w:val="20"/>
              </w:rPr>
              <w:t>The 1-bit indicator is an RRC parameter</w:t>
            </w:r>
          </w:p>
          <w:p w:rsidR="00D6117B" w:rsidRPr="000F5946" w:rsidRDefault="00D6117B" w:rsidP="00D6117B">
            <w:pPr>
              <w:pStyle w:val="ListParagraph"/>
              <w:numPr>
                <w:ilvl w:val="0"/>
                <w:numId w:val="1059"/>
              </w:numPr>
              <w:ind w:leftChars="0" w:left="400" w:hanging="400"/>
              <w:rPr>
                <w:rFonts w:cs="Times"/>
                <w:szCs w:val="20"/>
              </w:rPr>
            </w:pPr>
            <w:r w:rsidRPr="000F5946">
              <w:rPr>
                <w:rFonts w:cs="Times"/>
                <w:szCs w:val="20"/>
              </w:rPr>
              <w:t>This is done without increasing the bit-width of the CSI request field of the DCI triggering a Rel-18 CJT eType-II CJT CSI report</w:t>
            </w:r>
          </w:p>
          <w:p w:rsidR="00D6117B" w:rsidRPr="000F5946" w:rsidRDefault="00D6117B" w:rsidP="00D6117B">
            <w:pPr>
              <w:pStyle w:val="ListParagraph"/>
              <w:numPr>
                <w:ilvl w:val="0"/>
                <w:numId w:val="1059"/>
              </w:numPr>
              <w:ind w:leftChars="0" w:left="400" w:hanging="400"/>
              <w:rPr>
                <w:rFonts w:cs="Times"/>
                <w:szCs w:val="20"/>
              </w:rPr>
            </w:pPr>
            <w:r w:rsidRPr="000F5946">
              <w:rPr>
                <w:rFonts w:cs="Times"/>
                <w:szCs w:val="20"/>
              </w:rPr>
              <w:t>FFS (RAN1#119): Whether the 1-bit indicator applies to all the N</w:t>
            </w:r>
            <w:r w:rsidRPr="000F5946">
              <w:rPr>
                <w:rFonts w:cs="Times"/>
                <w:szCs w:val="20"/>
                <w:vertAlign w:val="subscript"/>
              </w:rPr>
              <w:t>TRP</w:t>
            </w:r>
            <w:r w:rsidRPr="000F5946">
              <w:rPr>
                <w:rFonts w:cs="Times"/>
                <w:szCs w:val="20"/>
              </w:rPr>
              <w:t xml:space="preserve"> CSI-RS resources, or to 1-bit indicator per CSI-RS resource</w:t>
            </w:r>
          </w:p>
          <w:p w:rsidR="00D6117B" w:rsidRPr="000F5946" w:rsidRDefault="00D6117B" w:rsidP="00D6117B">
            <w:pPr>
              <w:pStyle w:val="ListParagraph"/>
              <w:numPr>
                <w:ilvl w:val="0"/>
                <w:numId w:val="1059"/>
              </w:numPr>
              <w:ind w:leftChars="0" w:left="400" w:hanging="400"/>
              <w:rPr>
                <w:rFonts w:cs="Times"/>
                <w:szCs w:val="20"/>
              </w:rPr>
            </w:pPr>
            <w:r w:rsidRPr="000F5946">
              <w:rPr>
                <w:szCs w:val="20"/>
              </w:rPr>
              <w:t xml:space="preserve">FFS (RAN1#119): How this applies to a single CSI trigger state associated with &gt;1 CSI reports  </w:t>
            </w:r>
          </w:p>
          <w:p w:rsidR="00D6117B" w:rsidRPr="000F5946" w:rsidRDefault="00D6117B" w:rsidP="00D6117B">
            <w:pPr>
              <w:rPr>
                <w:i/>
                <w:sz w:val="20"/>
                <w:szCs w:val="20"/>
                <w:lang w:eastAsia="x-none"/>
              </w:rPr>
            </w:pP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sz w:val="20"/>
                <w:szCs w:val="20"/>
              </w:rPr>
            </w:pPr>
            <w:r w:rsidRPr="000F5946">
              <w:rPr>
                <w:rFonts w:eastAsia="Calibri"/>
                <w:sz w:val="20"/>
                <w:szCs w:val="20"/>
              </w:rPr>
              <w:t>For the Rel-19 aperiodic standalone CJT calibration (CJTC) reporting,</w:t>
            </w:r>
            <w:r w:rsidRPr="000F5946">
              <w:rPr>
                <w:sz w:val="20"/>
                <w:szCs w:val="20"/>
              </w:rPr>
              <w:t xml:space="preserve"> when linking CJTC Dd and Rel-18 eType-II CJT CSI reports is configured with a joint trigger:</w:t>
            </w:r>
          </w:p>
          <w:p w:rsidR="00D6117B" w:rsidRPr="000F5946" w:rsidRDefault="00D6117B" w:rsidP="00D6117B">
            <w:pPr>
              <w:pStyle w:val="ListParagraph"/>
              <w:numPr>
                <w:ilvl w:val="0"/>
                <w:numId w:val="1060"/>
              </w:numPr>
              <w:snapToGrid w:val="0"/>
              <w:ind w:leftChars="0" w:left="400" w:hanging="400"/>
              <w:rPr>
                <w:szCs w:val="20"/>
              </w:rPr>
            </w:pPr>
            <w:r w:rsidRPr="000F5946">
              <w:rPr>
                <w:rFonts w:eastAsia="DengXian"/>
                <w:bCs/>
                <w:szCs w:val="20"/>
                <w:lang w:eastAsia="zh-CN"/>
              </w:rPr>
              <w:t>Reuse the CPU occupation and active resource counting for the Rel-18 eType-II CJT</w:t>
            </w:r>
          </w:p>
          <w:p w:rsidR="00D6117B" w:rsidRPr="000F5946" w:rsidRDefault="00D6117B" w:rsidP="00D6117B">
            <w:pPr>
              <w:pStyle w:val="ListParagraph"/>
              <w:numPr>
                <w:ilvl w:val="0"/>
                <w:numId w:val="1060"/>
              </w:numPr>
              <w:snapToGrid w:val="0"/>
              <w:ind w:leftChars="0" w:left="400" w:hanging="400"/>
              <w:rPr>
                <w:szCs w:val="20"/>
              </w:rPr>
            </w:pPr>
            <w:r w:rsidRPr="000F5946">
              <w:rPr>
                <w:szCs w:val="20"/>
              </w:rPr>
              <w:t xml:space="preserve">FFS (RAN1#119): Re timeline, decide whether to reuse or further relax the timeline </w:t>
            </w:r>
            <w:r w:rsidRPr="000F5946">
              <w:rPr>
                <w:rFonts w:eastAsia="DengXian"/>
                <w:bCs/>
                <w:szCs w:val="20"/>
                <w:lang w:eastAsia="zh-CN"/>
              </w:rPr>
              <w:t xml:space="preserve">for the Rel-18 eType-II CJT </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rPr>
                <w:rFonts w:eastAsia="DengXian"/>
                <w:bCs/>
                <w:sz w:val="20"/>
                <w:szCs w:val="20"/>
              </w:rPr>
            </w:pPr>
            <w:r w:rsidRPr="000F5946">
              <w:rPr>
                <w:rFonts w:eastAsia="DengXian"/>
                <w:bCs/>
                <w:sz w:val="20"/>
                <w:szCs w:val="20"/>
              </w:rPr>
              <w:t xml:space="preserve">For the Rel-19 aperiodic standalone CJT calibration (CJTC) reporting, </w:t>
            </w:r>
            <w:r w:rsidRPr="000F5946">
              <w:rPr>
                <w:sz w:val="20"/>
                <w:szCs w:val="20"/>
              </w:rPr>
              <w:t xml:space="preserve">when linking CJTC Dd and Rel-18 eType-II CJT CSI reports is configured, </w:t>
            </w:r>
            <w:r w:rsidRPr="000F5946">
              <w:rPr>
                <w:rFonts w:eastAsia="DengXian"/>
                <w:bCs/>
                <w:sz w:val="20"/>
                <w:szCs w:val="20"/>
              </w:rPr>
              <w:t>s</w:t>
            </w:r>
            <w:r w:rsidRPr="000F5946">
              <w:rPr>
                <w:rFonts w:eastAsia="DengXian" w:hint="eastAsia"/>
                <w:bCs/>
                <w:sz w:val="20"/>
                <w:szCs w:val="20"/>
              </w:rPr>
              <w:t xml:space="preserve">upport </w:t>
            </w:r>
            <w:r w:rsidRPr="000F5946">
              <w:rPr>
                <w:rFonts w:eastAsia="DengXian"/>
                <w:bCs/>
                <w:sz w:val="20"/>
                <w:szCs w:val="20"/>
              </w:rPr>
              <w:t>linking</w:t>
            </w:r>
            <w:r w:rsidRPr="000F5946">
              <w:rPr>
                <w:rFonts w:eastAsia="DengXian" w:hint="eastAsia"/>
                <w:bCs/>
                <w:sz w:val="20"/>
                <w:szCs w:val="20"/>
              </w:rPr>
              <w:t xml:space="preserve"> the CMRs in the two </w:t>
            </w:r>
            <w:r w:rsidRPr="000F5946">
              <w:rPr>
                <w:rFonts w:eastAsia="DengXian"/>
                <w:bCs/>
                <w:sz w:val="20"/>
                <w:szCs w:val="20"/>
              </w:rPr>
              <w:t>CSI R</w:t>
            </w:r>
            <w:r w:rsidRPr="000F5946">
              <w:rPr>
                <w:rFonts w:eastAsia="DengXian" w:hint="eastAsia"/>
                <w:bCs/>
                <w:sz w:val="20"/>
                <w:szCs w:val="20"/>
              </w:rPr>
              <w:t xml:space="preserve">eport </w:t>
            </w:r>
            <w:r w:rsidRPr="000F5946">
              <w:rPr>
                <w:rFonts w:eastAsia="DengXian"/>
                <w:bCs/>
                <w:sz w:val="20"/>
                <w:szCs w:val="20"/>
              </w:rPr>
              <w:t>S</w:t>
            </w:r>
            <w:r w:rsidRPr="000F5946">
              <w:rPr>
                <w:rFonts w:eastAsia="DengXian" w:hint="eastAsia"/>
                <w:bCs/>
                <w:sz w:val="20"/>
                <w:szCs w:val="20"/>
              </w:rPr>
              <w:t>ettings so that UE knows which CMRs in the two report settings correspond to the same TRP.</w:t>
            </w:r>
          </w:p>
          <w:p w:rsidR="00D6117B" w:rsidRPr="000F5946" w:rsidRDefault="00D6117B" w:rsidP="00D6117B">
            <w:pPr>
              <w:pStyle w:val="ListParagraph"/>
              <w:numPr>
                <w:ilvl w:val="0"/>
                <w:numId w:val="1060"/>
              </w:numPr>
              <w:ind w:leftChars="0" w:left="400" w:hanging="400"/>
              <w:rPr>
                <w:rFonts w:eastAsia="DengXian"/>
                <w:bCs/>
                <w:szCs w:val="20"/>
                <w:lang w:eastAsia="zh-CN"/>
              </w:rPr>
            </w:pPr>
            <w:r w:rsidRPr="000F5946">
              <w:rPr>
                <w:rFonts w:eastAsia="DengXian"/>
                <w:bCs/>
                <w:szCs w:val="20"/>
                <w:lang w:eastAsia="zh-CN"/>
              </w:rPr>
              <w:t>Based on a fixed correspondence between the set of TRS resource set IDs in sequential order and the set of CSI-RS resource IDs in sequential order of configuration in their respective Resource Setting</w:t>
            </w:r>
          </w:p>
          <w:p w:rsidR="00D6117B" w:rsidRPr="000F5946" w:rsidRDefault="00D6117B" w:rsidP="00D6117B">
            <w:pPr>
              <w:rPr>
                <w:rFonts w:eastAsia="DengXian"/>
                <w:bCs/>
                <w:sz w:val="20"/>
                <w:szCs w:val="20"/>
              </w:rPr>
            </w:pPr>
            <w:r w:rsidRPr="000F5946">
              <w:rPr>
                <w:rFonts w:eastAsia="DengXian"/>
                <w:bCs/>
                <w:sz w:val="20"/>
                <w:szCs w:val="20"/>
              </w:rPr>
              <w:t>FFS: linking, when the number of resources configured for CJT CSI is &lt; number of resource sets configured for CJT Dd, in case of separate triggers</w:t>
            </w:r>
          </w:p>
          <w:p w:rsidR="00D6117B" w:rsidRPr="000F5946" w:rsidRDefault="00D6117B" w:rsidP="00D6117B">
            <w:pPr>
              <w:rPr>
                <w:i/>
                <w:sz w:val="20"/>
                <w:szCs w:val="20"/>
                <w:lang w:eastAsia="x-none"/>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rPr>
                <w:rFonts w:eastAsia="DengXian"/>
                <w:bCs/>
                <w:sz w:val="20"/>
                <w:szCs w:val="20"/>
              </w:rPr>
            </w:pPr>
            <w:r w:rsidRPr="000F5946">
              <w:rPr>
                <w:rFonts w:eastAsia="DengXian"/>
                <w:bCs/>
                <w:sz w:val="20"/>
                <w:szCs w:val="20"/>
              </w:rPr>
              <w:t>For the Rel-19 Type-I SP and Type-II codebook refinements (except based on Rel-18 Type-II Doppler) for 48, 64, and 128 CSI-RS ports,</w:t>
            </w:r>
            <w:r w:rsidRPr="000F5946">
              <w:rPr>
                <w:sz w:val="20"/>
                <w:szCs w:val="20"/>
              </w:rPr>
              <w:t xml:space="preserve"> </w:t>
            </w:r>
            <w:r w:rsidRPr="000F5946">
              <w:rPr>
                <w:rFonts w:eastAsia="DengXian"/>
                <w:bCs/>
                <w:sz w:val="20"/>
                <w:szCs w:val="20"/>
              </w:rPr>
              <w:t xml:space="preserve">change the </w:t>
            </w:r>
            <w:r w:rsidRPr="000F5946">
              <w:rPr>
                <w:rFonts w:eastAsia="DengXian"/>
                <w:bCs/>
                <w:i/>
                <w:sz w:val="20"/>
                <w:szCs w:val="20"/>
              </w:rPr>
              <w:t>maxNumberTxPortsPerResource</w:t>
            </w:r>
            <w:r w:rsidRPr="000F5946">
              <w:rPr>
                <w:rFonts w:eastAsia="DengXian"/>
                <w:bCs/>
                <w:sz w:val="20"/>
                <w:szCs w:val="20"/>
              </w:rPr>
              <w:t xml:space="preserve"> to </w:t>
            </w:r>
            <w:r w:rsidRPr="000F5946">
              <w:rPr>
                <w:rFonts w:eastAsia="DengXian"/>
                <w:bCs/>
                <w:i/>
                <w:sz w:val="20"/>
                <w:szCs w:val="20"/>
              </w:rPr>
              <w:t>maxNumberTxPortsPerReport</w:t>
            </w:r>
            <w:r w:rsidRPr="000F5946">
              <w:rPr>
                <w:rFonts w:eastAsia="DengXian"/>
                <w:bCs/>
                <w:sz w:val="20"/>
                <w:szCs w:val="20"/>
              </w:rPr>
              <w:t xml:space="preserve"> for Rel-19 codebook triplet capability </w:t>
            </w:r>
          </w:p>
          <w:p w:rsidR="00D6117B" w:rsidRPr="000F5946" w:rsidRDefault="00D6117B" w:rsidP="00D6117B">
            <w:pPr>
              <w:pStyle w:val="ListParagraph"/>
              <w:numPr>
                <w:ilvl w:val="0"/>
                <w:numId w:val="1061"/>
              </w:numPr>
              <w:ind w:leftChars="0" w:left="400" w:hanging="400"/>
              <w:rPr>
                <w:rFonts w:eastAsia="DengXian"/>
                <w:bCs/>
                <w:szCs w:val="20"/>
                <w:lang w:eastAsia="zh-CN"/>
              </w:rPr>
            </w:pPr>
            <w:r w:rsidRPr="000F5946">
              <w:rPr>
                <w:rFonts w:eastAsia="DengXian"/>
                <w:bCs/>
                <w:szCs w:val="20"/>
                <w:lang w:eastAsia="zh-CN"/>
              </w:rPr>
              <w:t xml:space="preserve">Note: Since ARC=1 was agreed, the K aggregated resources are perceived as 1 resource for ARC, and </w:t>
            </w:r>
            <w:r w:rsidRPr="000F5946">
              <w:rPr>
                <w:rFonts w:eastAsia="DengXian"/>
                <w:bCs/>
                <w:i/>
                <w:szCs w:val="20"/>
                <w:lang w:eastAsia="zh-CN"/>
              </w:rPr>
              <w:t>maxNumberTxPortsPerResource</w:t>
            </w:r>
            <w:r w:rsidRPr="000F5946">
              <w:rPr>
                <w:rFonts w:eastAsia="DengXian"/>
                <w:bCs/>
                <w:szCs w:val="20"/>
                <w:lang w:eastAsia="zh-CN"/>
              </w:rPr>
              <w:t xml:space="preserve"> cannot be larger than 32.</w:t>
            </w:r>
          </w:p>
          <w:p w:rsidR="00D6117B" w:rsidRPr="000F5946" w:rsidRDefault="00D6117B" w:rsidP="00D6117B">
            <w:pPr>
              <w:rPr>
                <w:iCs/>
                <w:sz w:val="20"/>
                <w:szCs w:val="20"/>
                <w:lang w:eastAsia="x-none"/>
              </w:rPr>
            </w:pPr>
          </w:p>
          <w:p w:rsidR="006858FA" w:rsidRPr="0045555A" w:rsidRDefault="006858FA" w:rsidP="00D6117B">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45555A">
        <w:rPr>
          <w:lang w:val="en-US" w:eastAsia="zh-CN"/>
        </w:rPr>
        <w:t>CSI</w:t>
      </w:r>
      <w:r w:rsidR="00EA7968">
        <w:rPr>
          <w:lang w:val="en-US" w:eastAsia="zh-CN"/>
        </w:rPr>
        <w:t xml:space="preserve"> enhancement</w:t>
      </w:r>
      <w:r w:rsidR="0045555A">
        <w:rPr>
          <w:lang w:val="en-US" w:eastAsia="zh-CN"/>
        </w:rPr>
        <w:t xml:space="preserve"> for NR MIMO</w:t>
      </w:r>
      <w:r w:rsidR="00EA7968">
        <w:rPr>
          <w:lang w:val="en-US" w:eastAsia="zh-CN"/>
        </w:rPr>
        <w:t>.</w:t>
      </w:r>
    </w:p>
    <w:p w:rsidR="00557396" w:rsidRDefault="0045555A" w:rsidP="00557396">
      <w:pPr>
        <w:pStyle w:val="Heading1"/>
      </w:pPr>
      <w:r>
        <w:t>Type1 codebook for 128 ports</w:t>
      </w:r>
    </w:p>
    <w:p w:rsidR="0045555A" w:rsidRDefault="0045555A" w:rsidP="0045555A">
      <w:pPr>
        <w:pStyle w:val="Heading2"/>
      </w:pPr>
      <w:r>
        <w:t>Report quantity</w:t>
      </w:r>
      <w:r w:rsidR="009127D2">
        <w:t xml:space="preserve"> configuration</w:t>
      </w:r>
      <w:r w:rsidR="006104C7">
        <w:t xml:space="preserve"> </w:t>
      </w:r>
    </w:p>
    <w:p w:rsidR="006104C7" w:rsidRDefault="0045555A" w:rsidP="0045555A">
      <w:pPr>
        <w:pStyle w:val="0Maintext"/>
        <w:spacing w:after="120" w:afterAutospacing="0" w:line="240" w:lineRule="auto"/>
        <w:ind w:firstLine="0"/>
        <w:rPr>
          <w:lang w:val="en-US" w:eastAsia="zh-CN"/>
        </w:rPr>
      </w:pPr>
      <w:r>
        <w:rPr>
          <w:lang w:val="en-US" w:eastAsia="zh-CN"/>
        </w:rPr>
        <w:t xml:space="preserve">Since all the CSI-RS resources in the CSI-RS resource set for channel measurement are used for one CSI measurement, </w:t>
      </w:r>
      <w:r w:rsidR="006104C7">
        <w:rPr>
          <w:lang w:val="en-US" w:eastAsia="zh-CN"/>
        </w:rPr>
        <w:t xml:space="preserve">it is unnecessary for the UE to report the CRI. Thus, </w:t>
      </w:r>
      <w:r w:rsidR="009127D2">
        <w:rPr>
          <w:lang w:val="en-US" w:eastAsia="zh-CN"/>
        </w:rPr>
        <w:t xml:space="preserve">to distinguish from the legacy Type1 codebook </w:t>
      </w:r>
      <w:r w:rsidR="009127D2">
        <w:rPr>
          <w:lang w:val="en-US" w:eastAsia="zh-CN"/>
        </w:rPr>
        <w:lastRenderedPageBreak/>
        <w:t xml:space="preserve">based CSI report based on multiple CSI-RS resources with CRI reported, </w:t>
      </w:r>
      <w:r w:rsidR="006104C7">
        <w:rPr>
          <w:lang w:val="en-US" w:eastAsia="zh-CN"/>
        </w:rPr>
        <w:t xml:space="preserve">the report quantity for </w:t>
      </w:r>
      <w:r w:rsidR="009127D2">
        <w:rPr>
          <w:lang w:val="en-US" w:eastAsia="zh-CN"/>
        </w:rPr>
        <w:t>the CSI feedback for up to 128 ports</w:t>
      </w:r>
      <w:r w:rsidR="006104C7">
        <w:rPr>
          <w:lang w:val="en-US" w:eastAsia="zh-CN"/>
        </w:rPr>
        <w:t xml:space="preserve"> should be based on “RI-PMI-CQI” or “RI-PMI-CQI-LI”.</w:t>
      </w:r>
    </w:p>
    <w:p w:rsidR="0045555A" w:rsidRDefault="006104C7" w:rsidP="0045555A">
      <w:pPr>
        <w:pStyle w:val="0Maintext"/>
        <w:spacing w:after="120" w:afterAutospacing="0" w:line="240" w:lineRule="auto"/>
        <w:ind w:firstLine="0"/>
        <w:rPr>
          <w:lang w:val="en-US" w:eastAsia="zh-CN"/>
        </w:rPr>
      </w:pPr>
      <w:r w:rsidRPr="00157942">
        <w:rPr>
          <w:b/>
          <w:bCs/>
          <w:i/>
          <w:iCs/>
          <w:lang w:val="en-US" w:eastAsia="zh-CN"/>
        </w:rPr>
        <w:t xml:space="preserve">Proposal </w:t>
      </w:r>
      <w:r w:rsidR="009127D2">
        <w:rPr>
          <w:b/>
          <w:bCs/>
          <w:i/>
          <w:iCs/>
          <w:lang w:val="en-US" w:eastAsia="zh-CN"/>
        </w:rPr>
        <w:t>1</w:t>
      </w:r>
      <w:r w:rsidRPr="00157942">
        <w:rPr>
          <w:b/>
          <w:bCs/>
          <w:i/>
          <w:iCs/>
          <w:lang w:val="en-US" w:eastAsia="zh-CN"/>
        </w:rPr>
        <w:t xml:space="preserve">: </w:t>
      </w:r>
      <w:r>
        <w:rPr>
          <w:b/>
          <w:bCs/>
          <w:i/>
          <w:iCs/>
          <w:lang w:val="en-US" w:eastAsia="zh-CN"/>
        </w:rPr>
        <w:t xml:space="preserve">When the NW configures a Type1 codebook with more than 32 ports, support the NW configures the reportQuantity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sidR="009127D2">
        <w:rPr>
          <w:b/>
          <w:bCs/>
          <w:i/>
          <w:iCs/>
          <w:lang w:val="en-US" w:eastAsia="zh-CN"/>
        </w:rPr>
        <w:t xml:space="preserve"> </w:t>
      </w:r>
      <w:r w:rsidR="009127D2" w:rsidRPr="009127D2">
        <w:rPr>
          <w:b/>
          <w:bCs/>
          <w:i/>
          <w:iCs/>
          <w:lang w:val="en-US" w:eastAsia="zh-CN"/>
        </w:rPr>
        <w:t>to distinguish from the legacy Type1 codebook based CSI report based on multiple CSI-RS resources with CRI reported</w:t>
      </w:r>
      <w:r>
        <w:rPr>
          <w:b/>
          <w:bCs/>
          <w:i/>
          <w:iCs/>
          <w:lang w:val="en-US" w:eastAsia="zh-CN"/>
        </w:rPr>
        <w:t>.</w:t>
      </w:r>
    </w:p>
    <w:p w:rsidR="009127D2" w:rsidRDefault="009127D2" w:rsidP="00557396">
      <w:pPr>
        <w:pStyle w:val="0Maintext"/>
        <w:spacing w:after="120" w:afterAutospacing="0" w:line="240" w:lineRule="auto"/>
        <w:ind w:firstLine="0"/>
        <w:rPr>
          <w:lang w:val="en-US" w:eastAsia="zh-CN"/>
        </w:rPr>
      </w:pPr>
    </w:p>
    <w:p w:rsidR="007B78A6" w:rsidRDefault="00352FF1" w:rsidP="007B78A6">
      <w:pPr>
        <w:pStyle w:val="Heading2"/>
      </w:pPr>
      <w:r>
        <w:t>Power scaling for rank&gt;1</w:t>
      </w:r>
    </w:p>
    <w:p w:rsidR="00352FF1" w:rsidRDefault="00352FF1" w:rsidP="007B78A6">
      <w:pPr>
        <w:pStyle w:val="0Maintext"/>
        <w:spacing w:after="120" w:afterAutospacing="0" w:line="240" w:lineRule="auto"/>
        <w:ind w:firstLine="0"/>
        <w:rPr>
          <w:lang w:val="en-US" w:eastAsia="zh-CN"/>
        </w:rPr>
      </w:pPr>
      <w:r>
        <w:rPr>
          <w:lang w:val="en-US" w:eastAsia="zh-CN"/>
        </w:rPr>
        <w:t>In RAN1 #118</w:t>
      </w:r>
      <w:r w:rsidR="00D6117B">
        <w:rPr>
          <w:lang w:val="en-US" w:eastAsia="zh-CN"/>
        </w:rPr>
        <w:t>b</w:t>
      </w:r>
      <w:r>
        <w:rPr>
          <w:rFonts w:hint="eastAsia"/>
          <w:lang w:val="en-US" w:eastAsia="zh-CN"/>
        </w:rPr>
        <w:t xml:space="preserve"> </w:t>
      </w:r>
      <w:r>
        <w:rPr>
          <w:lang w:val="en-US" w:eastAsia="zh-CN"/>
        </w:rPr>
        <w:t>meeting, the following on power scaling for rank&gt;1 has been agreed.</w:t>
      </w:r>
    </w:p>
    <w:tbl>
      <w:tblPr>
        <w:tblStyle w:val="TableGrid"/>
        <w:tblW w:w="0" w:type="auto"/>
        <w:tblLook w:val="04A0" w:firstRow="1" w:lastRow="0" w:firstColumn="1" w:lastColumn="0" w:noHBand="0" w:noVBand="1"/>
      </w:tblPr>
      <w:tblGrid>
        <w:gridCol w:w="9010"/>
      </w:tblGrid>
      <w:tr w:rsidR="00352FF1" w:rsidTr="00352FF1">
        <w:tc>
          <w:tcPr>
            <w:tcW w:w="9010" w:type="dxa"/>
          </w:tcPr>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rPr>
                <w:iCs/>
                <w:sz w:val="20"/>
                <w:szCs w:val="20"/>
              </w:rPr>
            </w:pPr>
            <w:r w:rsidRPr="000F5946">
              <w:rPr>
                <w:iCs/>
                <w:sz w:val="20"/>
                <w:szCs w:val="20"/>
              </w:rPr>
              <w:t>For the Rel-19 Type-I SP codebook refinement for 48, 64, and 128 CSI-RS ports, regarding the support for the 3-bit scaling factor(s) for RI=</w:t>
            </w:r>
            <w:r w:rsidRPr="000F5946">
              <w:rPr>
                <w:i/>
                <w:iCs/>
                <w:sz w:val="20"/>
                <w:szCs w:val="20"/>
              </w:rPr>
              <w:t>v</w:t>
            </w:r>
            <w:r w:rsidRPr="000F5946">
              <w:rPr>
                <w:iCs/>
                <w:sz w:val="20"/>
                <w:szCs w:val="20"/>
              </w:rPr>
              <w:t xml:space="preserve"> &gt;1, support only for RI=</w:t>
            </w:r>
            <w:r w:rsidRPr="000F5946">
              <w:rPr>
                <w:i/>
                <w:iCs/>
                <w:sz w:val="20"/>
                <w:szCs w:val="20"/>
              </w:rPr>
              <w:t>v</w:t>
            </w:r>
            <w:r w:rsidRPr="000F5946">
              <w:rPr>
                <w:iCs/>
                <w:sz w:val="20"/>
                <w:szCs w:val="20"/>
              </w:rPr>
              <w:t xml:space="preserve">=2 without per-SD-basis-vector/layer power adjustment/boosting </w:t>
            </w:r>
          </w:p>
          <w:p w:rsidR="00D6117B" w:rsidRPr="000F5946" w:rsidRDefault="00D6117B" w:rsidP="00D6117B">
            <w:pPr>
              <w:pStyle w:val="ListParagraph"/>
              <w:numPr>
                <w:ilvl w:val="0"/>
                <w:numId w:val="1052"/>
              </w:numPr>
              <w:snapToGrid w:val="0"/>
              <w:ind w:leftChars="0" w:left="400" w:hanging="400"/>
              <w:contextualSpacing/>
              <w:rPr>
                <w:szCs w:val="20"/>
              </w:rPr>
            </w:pPr>
            <w:r w:rsidRPr="000F5946">
              <w:rPr>
                <w:szCs w:val="20"/>
              </w:rPr>
              <w:t>FFS: Details on per-layer scaling factor applied to each of the selected SD basis vectors, extending the agreed scaling factor for RI=</w:t>
            </w:r>
            <w:r w:rsidRPr="000F5946">
              <w:rPr>
                <w:i/>
                <w:iCs/>
                <w:szCs w:val="20"/>
              </w:rPr>
              <w:t xml:space="preserve"> v</w:t>
            </w:r>
            <w:r w:rsidRPr="000F5946">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sidRPr="000F5946">
              <w:rPr>
                <w:iCs/>
                <w:szCs w:val="20"/>
              </w:rPr>
              <w:t xml:space="preserve"> </w:t>
            </w:r>
            <w:r w:rsidRPr="000F5946">
              <w:rPr>
                <w:szCs w:val="20"/>
              </w:rPr>
              <w:t>(in RAN1#117)</w:t>
            </w:r>
          </w:p>
          <w:p w:rsidR="00D6117B" w:rsidRPr="000F5946" w:rsidRDefault="00D6117B" w:rsidP="00D6117B">
            <w:pPr>
              <w:widowControl w:val="0"/>
              <w:snapToGrid w:val="0"/>
              <w:rPr>
                <w:iCs/>
                <w:sz w:val="20"/>
                <w:szCs w:val="20"/>
                <w:lang w:eastAsia="ko-KR"/>
              </w:rPr>
            </w:pPr>
            <w:r w:rsidRPr="000F5946">
              <w:rPr>
                <w:iCs/>
                <w:sz w:val="20"/>
                <w:szCs w:val="20"/>
              </w:rPr>
              <w:t>This feature is a separate UE capability from soft scaling for RI=</w:t>
            </w:r>
            <w:r w:rsidRPr="000F5946">
              <w:rPr>
                <w:i/>
                <w:iCs/>
                <w:sz w:val="20"/>
                <w:szCs w:val="20"/>
              </w:rPr>
              <w:t>v</w:t>
            </w:r>
            <w:r w:rsidRPr="000F5946">
              <w:rPr>
                <w:iCs/>
                <w:sz w:val="20"/>
                <w:szCs w:val="20"/>
              </w:rPr>
              <w:t>=1</w:t>
            </w:r>
            <w:r w:rsidRPr="000F5946">
              <w:rPr>
                <w:rFonts w:hint="eastAsia"/>
                <w:iCs/>
                <w:sz w:val="20"/>
                <w:szCs w:val="20"/>
                <w:lang w:eastAsia="ko-KR"/>
              </w:rPr>
              <w:t>. Introduce new RRC parameter to enable the feature.</w:t>
            </w:r>
          </w:p>
          <w:p w:rsidR="00D6117B" w:rsidRPr="000F5946" w:rsidRDefault="00D6117B" w:rsidP="00D6117B">
            <w:pPr>
              <w:widowControl w:val="0"/>
              <w:snapToGrid w:val="0"/>
              <w:rPr>
                <w:iCs/>
                <w:sz w:val="20"/>
                <w:szCs w:val="20"/>
              </w:rPr>
            </w:pPr>
            <w:r w:rsidRPr="000F5946">
              <w:rPr>
                <w:iCs/>
                <w:sz w:val="20"/>
                <w:szCs w:val="20"/>
              </w:rPr>
              <w:t>Note: This doesn’t preclude the use of power boosting at the NW side by implementation</w:t>
            </w:r>
          </w:p>
          <w:p w:rsidR="00D6117B" w:rsidRDefault="00D6117B" w:rsidP="00D6117B">
            <w:pPr>
              <w:snapToGrid w:val="0"/>
              <w:jc w:val="both"/>
              <w:rPr>
                <w:rFonts w:cs="Times"/>
                <w:b/>
                <w:sz w:val="20"/>
                <w:szCs w:val="20"/>
                <w:highlight w:val="green"/>
                <w:lang w:eastAsia="ko-KR"/>
              </w:rPr>
            </w:pPr>
          </w:p>
          <w:p w:rsidR="00D6117B" w:rsidRDefault="00D6117B" w:rsidP="00D6117B">
            <w:pPr>
              <w:snapToGrid w:val="0"/>
              <w:jc w:val="both"/>
              <w:rPr>
                <w:rFonts w:cs="Times"/>
                <w:b/>
                <w:sz w:val="20"/>
                <w:szCs w:val="20"/>
                <w:highlight w:val="green"/>
                <w:lang w:eastAsia="ko-KR"/>
              </w:rPr>
            </w:pPr>
          </w:p>
          <w:p w:rsidR="00D6117B" w:rsidRPr="000F5946" w:rsidRDefault="00D6117B" w:rsidP="00D6117B">
            <w:pPr>
              <w:snapToGrid w:val="0"/>
              <w:jc w:val="both"/>
              <w:rPr>
                <w:rFonts w:cs="Times"/>
                <w:b/>
                <w:sz w:val="20"/>
                <w:szCs w:val="20"/>
                <w:lang w:eastAsia="ko-KR"/>
              </w:rPr>
            </w:pPr>
            <w:r w:rsidRPr="000F5946">
              <w:rPr>
                <w:rFonts w:cs="Times" w:hint="eastAsia"/>
                <w:b/>
                <w:sz w:val="20"/>
                <w:szCs w:val="20"/>
                <w:highlight w:val="green"/>
                <w:lang w:eastAsia="ko-KR"/>
              </w:rPr>
              <w:t>Agreement</w:t>
            </w:r>
          </w:p>
          <w:p w:rsidR="00D6117B" w:rsidRPr="000F5946" w:rsidRDefault="00D6117B" w:rsidP="00D6117B">
            <w:pPr>
              <w:snapToGrid w:val="0"/>
              <w:jc w:val="both"/>
              <w:rPr>
                <w:iCs/>
                <w:sz w:val="20"/>
                <w:szCs w:val="20"/>
              </w:rPr>
            </w:pPr>
            <w:r w:rsidRPr="000F5946">
              <w:rPr>
                <w:iCs/>
                <w:sz w:val="20"/>
                <w:szCs w:val="20"/>
              </w:rPr>
              <w:t xml:space="preserve">For the Rel-19 Type-I SP codebook refinement for 48, 64, and 128 CSI-RS ports, regarding </w:t>
            </w:r>
            <w:r w:rsidRPr="000F5946">
              <w:rPr>
                <w:sz w:val="20"/>
                <w:szCs w:val="20"/>
              </w:rPr>
              <w:t>per-layer scaling factor applied to each of the selected SD basis vectors</w:t>
            </w:r>
            <w:r w:rsidRPr="000F5946">
              <w:rPr>
                <w:iCs/>
                <w:sz w:val="20"/>
                <w:szCs w:val="20"/>
              </w:rPr>
              <w:t xml:space="preserve"> associated with RI=</w:t>
            </w:r>
            <w:r w:rsidRPr="000F5946">
              <w:rPr>
                <w:i/>
                <w:iCs/>
                <w:sz w:val="20"/>
                <w:szCs w:val="20"/>
              </w:rPr>
              <w:t xml:space="preserve">v </w:t>
            </w:r>
            <m:oMath>
              <m:r>
                <w:rPr>
                  <w:rFonts w:ascii="Cambria Math" w:hAnsi="Cambria Math"/>
                  <w:sz w:val="20"/>
                  <w:szCs w:val="20"/>
                </w:rPr>
                <m:t>∈</m:t>
              </m:r>
            </m:oMath>
            <w:r w:rsidRPr="000F5946">
              <w:rPr>
                <w:iCs/>
                <w:sz w:val="20"/>
                <w:szCs w:val="20"/>
              </w:rPr>
              <w:t>{2} for the 3-bit scaling factor(s), decide, by RAN1#119, from the following alternatives:</w:t>
            </w:r>
          </w:p>
          <w:p w:rsidR="00D6117B" w:rsidRPr="000F5946" w:rsidRDefault="00D6117B" w:rsidP="00D6117B">
            <w:pPr>
              <w:pStyle w:val="ListParagraph"/>
              <w:numPr>
                <w:ilvl w:val="0"/>
                <w:numId w:val="1052"/>
              </w:numPr>
              <w:snapToGrid w:val="0"/>
              <w:ind w:leftChars="0" w:left="400" w:hanging="400"/>
              <w:jc w:val="both"/>
              <w:rPr>
                <w:rFonts w:eastAsia="DengXian"/>
                <w:bCs/>
                <w:szCs w:val="20"/>
                <w:lang w:val="de-DE" w:eastAsia="zh-CN"/>
              </w:rPr>
            </w:pPr>
            <w:r w:rsidRPr="000F5946">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0F5946">
              <w:rPr>
                <w:rFonts w:eastAsia="DengXian"/>
                <w:bCs/>
                <w:iCs/>
                <w:szCs w:val="20"/>
                <w:lang w:val="de-DE"/>
              </w:rPr>
              <w:t xml:space="preserve"> </w:t>
            </w:r>
          </w:p>
          <w:p w:rsidR="00D6117B" w:rsidRPr="000F5946" w:rsidRDefault="00D6117B" w:rsidP="00D6117B">
            <w:pPr>
              <w:pStyle w:val="ListParagraph"/>
              <w:numPr>
                <w:ilvl w:val="0"/>
                <w:numId w:val="1052"/>
              </w:numPr>
              <w:snapToGrid w:val="0"/>
              <w:ind w:leftChars="0" w:left="400" w:hanging="400"/>
              <w:jc w:val="both"/>
              <w:rPr>
                <w:rFonts w:eastAsia="DengXian"/>
                <w:bCs/>
                <w:szCs w:val="20"/>
                <w:lang w:val="de-DE" w:eastAsia="zh-CN"/>
              </w:rPr>
            </w:pPr>
            <w:r w:rsidRPr="000F5946">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0F5946">
              <w:rPr>
                <w:bCs/>
                <w:szCs w:val="20"/>
                <w:lang w:val="de-DE"/>
              </w:rPr>
              <w:t xml:space="preserve"> </w:t>
            </w:r>
          </w:p>
          <w:p w:rsidR="00D6117B" w:rsidRPr="000F5946" w:rsidRDefault="00D6117B" w:rsidP="00D6117B">
            <w:pPr>
              <w:pStyle w:val="ListParagraph"/>
              <w:numPr>
                <w:ilvl w:val="0"/>
                <w:numId w:val="1052"/>
              </w:numPr>
              <w:snapToGrid w:val="0"/>
              <w:ind w:leftChars="0" w:left="400" w:hanging="400"/>
              <w:jc w:val="both"/>
              <w:rPr>
                <w:bCs/>
                <w:szCs w:val="20"/>
                <w:lang w:eastAsia="zh-CN"/>
              </w:rPr>
            </w:pPr>
            <w:r w:rsidRPr="000F5946">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rsidR="00D6117B" w:rsidRPr="000F5946" w:rsidRDefault="00D6117B" w:rsidP="00D6117B">
            <w:pPr>
              <w:pStyle w:val="ListParagraph"/>
              <w:numPr>
                <w:ilvl w:val="0"/>
                <w:numId w:val="1052"/>
              </w:numPr>
              <w:snapToGrid w:val="0"/>
              <w:ind w:leftChars="0" w:left="400" w:hanging="400"/>
              <w:jc w:val="both"/>
              <w:rPr>
                <w:bCs/>
                <w:szCs w:val="20"/>
                <w:lang w:eastAsia="zh-CN"/>
              </w:rPr>
            </w:pPr>
            <w:r w:rsidRPr="000F5946">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sidRPr="000F5946">
              <w:rPr>
                <w:rFonts w:eastAsia="DengXian"/>
                <w:bCs/>
                <w:iCs/>
                <w:szCs w:val="20"/>
              </w:rPr>
              <w:t xml:space="preserve">  </w:t>
            </w:r>
          </w:p>
          <w:p w:rsidR="00D6117B" w:rsidRPr="000F5946" w:rsidRDefault="00D6117B" w:rsidP="00D6117B">
            <w:pPr>
              <w:pStyle w:val="ListParagraph"/>
              <w:numPr>
                <w:ilvl w:val="0"/>
                <w:numId w:val="1052"/>
              </w:numPr>
              <w:snapToGrid w:val="0"/>
              <w:ind w:leftChars="0" w:left="400" w:hanging="400"/>
              <w:jc w:val="both"/>
              <w:rPr>
                <w:bCs/>
                <w:szCs w:val="20"/>
                <w:lang w:val="de-DE" w:eastAsia="zh-CN"/>
              </w:rPr>
            </w:pPr>
            <w:r w:rsidRPr="000F5946">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rsidR="00D6117B" w:rsidRPr="000F5946" w:rsidRDefault="00D6117B" w:rsidP="00D6117B">
            <w:pPr>
              <w:pStyle w:val="ListParagraph"/>
              <w:numPr>
                <w:ilvl w:val="0"/>
                <w:numId w:val="1052"/>
              </w:numPr>
              <w:snapToGrid w:val="0"/>
              <w:ind w:leftChars="0" w:left="400" w:hanging="400"/>
              <w:jc w:val="both"/>
              <w:rPr>
                <w:bCs/>
                <w:szCs w:val="20"/>
                <w:lang w:eastAsia="zh-CN"/>
              </w:rPr>
            </w:pPr>
            <w:r w:rsidRPr="000F5946">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rsidR="00D6117B" w:rsidRPr="000F5946" w:rsidRDefault="00D6117B" w:rsidP="00D6117B">
            <w:pPr>
              <w:pStyle w:val="ListParagraph"/>
              <w:numPr>
                <w:ilvl w:val="0"/>
                <w:numId w:val="1052"/>
              </w:numPr>
              <w:snapToGrid w:val="0"/>
              <w:ind w:leftChars="0" w:left="400" w:hanging="400"/>
              <w:jc w:val="both"/>
              <w:rPr>
                <w:bCs/>
                <w:szCs w:val="20"/>
                <w:lang w:eastAsia="zh-CN"/>
              </w:rPr>
            </w:pPr>
            <w:r w:rsidRPr="000F5946">
              <w:rPr>
                <w:rFonts w:eastAsia="DengXian"/>
                <w:bCs/>
                <w:szCs w:val="20"/>
                <w:lang w:eastAsia="zh-CN"/>
              </w:rPr>
              <w:t>A</w:t>
            </w:r>
            <w:r w:rsidRPr="000F5946">
              <w:rPr>
                <w:rFonts w:eastAsia="DengXian" w:hint="eastAsia"/>
                <w:bCs/>
                <w:szCs w:val="20"/>
                <w:lang w:eastAsia="zh-CN"/>
              </w:rPr>
              <w:t>lt</w:t>
            </w:r>
            <w:r w:rsidRPr="000F5946">
              <w:rPr>
                <w:rFonts w:eastAsia="DengXian"/>
                <w:bCs/>
                <w:szCs w:val="20"/>
                <w:lang w:eastAsia="zh-CN"/>
              </w:rPr>
              <w:t xml:space="preserve">7: </w:t>
            </w:r>
          </w:p>
          <w:p w:rsidR="00D6117B" w:rsidRPr="000F5946" w:rsidRDefault="00D6117B" w:rsidP="00D6117B">
            <w:pPr>
              <w:pStyle w:val="ListParagraph"/>
              <w:numPr>
                <w:ilvl w:val="1"/>
                <w:numId w:val="1052"/>
              </w:numPr>
              <w:snapToGrid w:val="0"/>
              <w:ind w:leftChars="0" w:left="400" w:hanging="400"/>
              <w:jc w:val="both"/>
              <w:rPr>
                <w:bCs/>
                <w:szCs w:val="20"/>
                <w:lang w:eastAsia="zh-CN"/>
              </w:rPr>
            </w:pPr>
            <w:r w:rsidRPr="000F5946">
              <w:rPr>
                <w:rFonts w:eastAsia="DengXian"/>
                <w:bCs/>
                <w:szCs w:val="20"/>
                <w:lang w:eastAsia="zh-CN"/>
              </w:rPr>
              <w:t>if two different vectors for</w:t>
            </w:r>
            <w:r w:rsidRPr="000F5946">
              <w:rPr>
                <w:rFonts w:ascii="Cambria Math" w:hAnsi="Cambria Math"/>
                <w:szCs w:val="20"/>
              </w:rPr>
              <w:t xml:space="preserve"> </w:t>
            </w:r>
            <m:oMath>
              <m:r>
                <m:rPr>
                  <m:sty m:val="p"/>
                </m:rPr>
                <w:rPr>
                  <w:rFonts w:ascii="Cambria Math" w:hAnsi="Cambria Math"/>
                  <w:szCs w:val="20"/>
                </w:rPr>
                <m:t>υ=2</m:t>
              </m:r>
            </m:oMath>
            <w:r w:rsidRPr="000F5946">
              <w:rPr>
                <w:rFonts w:ascii="Cambria Math" w:hAnsi="Cambria Math"/>
                <w:szCs w:val="20"/>
              </w:rPr>
              <w:t>,</w:t>
            </w:r>
            <w:r w:rsidRPr="000F5946">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0F5946">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0F5946">
              <w:rPr>
                <w:rFonts w:eastAsia="DengXian" w:hint="eastAsia"/>
                <w:bCs/>
                <w:iCs/>
                <w:szCs w:val="20"/>
                <w:lang w:eastAsia="zh-CN"/>
              </w:rPr>
              <w:t>,</w:t>
            </w:r>
            <w:r w:rsidRPr="000F5946">
              <w:rPr>
                <w:rFonts w:eastAsia="DengXian"/>
                <w:bCs/>
                <w:szCs w:val="20"/>
              </w:rPr>
              <w:t xml:space="preserve"> </w:t>
            </w:r>
            <w:r w:rsidRPr="000F5946">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0F5946">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0F5946">
              <w:rPr>
                <w:rFonts w:eastAsia="DengXian"/>
                <w:bCs/>
                <w:szCs w:val="20"/>
              </w:rPr>
              <w:t xml:space="preserve">; </w:t>
            </w:r>
          </w:p>
          <w:p w:rsidR="00D6117B" w:rsidRPr="000F5946" w:rsidRDefault="00D6117B" w:rsidP="00D6117B">
            <w:pPr>
              <w:pStyle w:val="ListParagraph"/>
              <w:numPr>
                <w:ilvl w:val="1"/>
                <w:numId w:val="1052"/>
              </w:numPr>
              <w:snapToGrid w:val="0"/>
              <w:ind w:leftChars="0" w:left="400" w:hanging="400"/>
              <w:jc w:val="both"/>
              <w:rPr>
                <w:bCs/>
                <w:szCs w:val="20"/>
                <w:lang w:eastAsia="zh-CN"/>
              </w:rPr>
            </w:pPr>
            <w:r w:rsidRPr="000F5946">
              <w:rPr>
                <w:rFonts w:eastAsia="DengXian"/>
                <w:bCs/>
                <w:szCs w:val="20"/>
              </w:rPr>
              <w:t>otherwise (</w:t>
            </w:r>
            <m:oMath>
              <m:r>
                <m:rPr>
                  <m:sty m:val="p"/>
                </m:rPr>
                <w:rPr>
                  <w:rFonts w:ascii="Cambria Math" w:hAnsi="Cambria Math"/>
                  <w:szCs w:val="20"/>
                </w:rPr>
                <m:t>υ=1</m:t>
              </m:r>
            </m:oMath>
            <w:r w:rsidRPr="000F5946">
              <w:rPr>
                <w:rFonts w:eastAsia="DengXian"/>
                <w:szCs w:val="20"/>
              </w:rPr>
              <w:t xml:space="preserve"> or one same vector for </w:t>
            </w:r>
            <m:oMath>
              <m:r>
                <m:rPr>
                  <m:sty m:val="p"/>
                </m:rPr>
                <w:rPr>
                  <w:rFonts w:ascii="Cambria Math" w:hAnsi="Cambria Math"/>
                  <w:szCs w:val="20"/>
                </w:rPr>
                <m:t>υ=2</m:t>
              </m:r>
            </m:oMath>
            <w:r w:rsidRPr="000F5946">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0F5946">
              <w:rPr>
                <w:rFonts w:eastAsia="DengXian"/>
                <w:bCs/>
                <w:iCs/>
                <w:szCs w:val="20"/>
              </w:rPr>
              <w:t xml:space="preserve"> for the vector</w:t>
            </w:r>
          </w:p>
          <w:p w:rsidR="00D6117B" w:rsidRPr="000F5946" w:rsidRDefault="00D6117B" w:rsidP="00D6117B">
            <w:pPr>
              <w:snapToGrid w:val="0"/>
              <w:jc w:val="both"/>
              <w:rPr>
                <w:rFonts w:eastAsia="DengXian"/>
                <w:bCs/>
                <w:sz w:val="20"/>
                <w:szCs w:val="20"/>
              </w:rPr>
            </w:pPr>
            <w:r w:rsidRPr="000F5946">
              <w:rPr>
                <w:rFonts w:eastAsia="DengXian"/>
                <w:bCs/>
                <w:sz w:val="20"/>
                <w:szCs w:val="20"/>
              </w:rPr>
              <w:t>Where r</w:t>
            </w:r>
            <w:r w:rsidRPr="000F5946">
              <w:rPr>
                <w:rFonts w:eastAsia="DengXian"/>
                <w:bCs/>
                <w:sz w:val="20"/>
                <w:szCs w:val="20"/>
                <w:vertAlign w:val="subscript"/>
              </w:rPr>
              <w:t>i</w:t>
            </w:r>
            <w:r w:rsidRPr="000F5946">
              <w:rPr>
                <w:rFonts w:eastAsia="DengXian"/>
                <w:bCs/>
                <w:sz w:val="20"/>
                <w:szCs w:val="20"/>
              </w:rPr>
              <w:t xml:space="preserve"> denotes the number of layers associated with the i-th SD basis vector.</w:t>
            </w:r>
          </w:p>
          <w:p w:rsidR="00D6117B" w:rsidRPr="000F5946" w:rsidRDefault="00D6117B" w:rsidP="00D6117B">
            <w:pPr>
              <w:snapToGrid w:val="0"/>
              <w:jc w:val="both"/>
              <w:rPr>
                <w:rFonts w:eastAsia="DengXian"/>
                <w:bCs/>
                <w:sz w:val="20"/>
                <w:szCs w:val="20"/>
              </w:rPr>
            </w:pPr>
            <w:r w:rsidRPr="000F5946">
              <w:rPr>
                <w:rFonts w:eastAsia="DengXian"/>
                <w:bCs/>
                <w:sz w:val="20"/>
                <w:szCs w:val="20"/>
              </w:rPr>
              <w:t>The same scheme applies to both Mode-A and Mode-B.</w:t>
            </w:r>
          </w:p>
          <w:p w:rsidR="00D6117B" w:rsidRPr="000F5946" w:rsidRDefault="00D6117B" w:rsidP="00D6117B">
            <w:pPr>
              <w:snapToGrid w:val="0"/>
              <w:jc w:val="both"/>
              <w:rPr>
                <w:iCs/>
                <w:sz w:val="20"/>
                <w:szCs w:val="20"/>
              </w:rPr>
            </w:pPr>
            <w:r w:rsidRPr="000F5946">
              <w:rPr>
                <w:iCs/>
                <w:sz w:val="20"/>
                <w:szCs w:val="20"/>
              </w:rPr>
              <w:t xml:space="preserve">Note: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i</m:t>
                  </m:r>
                </m:sub>
              </m:sSub>
              <m:r>
                <w:rPr>
                  <w:rFonts w:ascii="Cambria Math" w:hAnsi="Cambria Math"/>
                  <w:sz w:val="20"/>
                  <w:szCs w:val="20"/>
                </w:rPr>
                <m:t>∈</m:t>
              </m:r>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2</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3</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4</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6</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8</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12</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16</m:t>
                          </m:r>
                        </m:den>
                      </m:f>
                    </m:e>
                  </m:rad>
                </m:e>
              </m:d>
            </m:oMath>
            <w:r w:rsidRPr="000F5946">
              <w:rPr>
                <w:iCs/>
                <w:sz w:val="20"/>
                <w:szCs w:val="20"/>
              </w:rPr>
              <w:t xml:space="preserve"> as agreed in RAN1#117.</w:t>
            </w:r>
          </w:p>
          <w:p w:rsidR="00D6117B" w:rsidRPr="000F5946" w:rsidRDefault="00D6117B" w:rsidP="00D6117B">
            <w:pPr>
              <w:snapToGrid w:val="0"/>
              <w:jc w:val="both"/>
              <w:rPr>
                <w:iCs/>
                <w:sz w:val="20"/>
                <w:szCs w:val="20"/>
              </w:rPr>
            </w:pPr>
            <w:r w:rsidRPr="000F5946">
              <w:rPr>
                <w:iCs/>
                <w:sz w:val="20"/>
                <w:szCs w:val="20"/>
              </w:rPr>
              <w:t>Normalization of precoder should be taken into account in the final specification design.</w:t>
            </w:r>
          </w:p>
          <w:p w:rsidR="00352FF1" w:rsidRDefault="00352FF1" w:rsidP="007B78A6">
            <w:pPr>
              <w:pStyle w:val="0Maintext"/>
              <w:spacing w:after="120" w:afterAutospacing="0" w:line="240" w:lineRule="auto"/>
              <w:ind w:firstLine="0"/>
              <w:rPr>
                <w:lang w:val="en-US" w:eastAsia="zh-CN"/>
              </w:rPr>
            </w:pPr>
          </w:p>
        </w:tc>
      </w:tr>
    </w:tbl>
    <w:p w:rsidR="00352FF1" w:rsidRDefault="00352FF1" w:rsidP="007B78A6">
      <w:pPr>
        <w:pStyle w:val="0Maintext"/>
        <w:spacing w:after="120" w:afterAutospacing="0" w:line="240" w:lineRule="auto"/>
        <w:ind w:firstLine="0"/>
        <w:rPr>
          <w:lang w:val="en-US" w:eastAsia="zh-CN"/>
        </w:rPr>
      </w:pPr>
    </w:p>
    <w:p w:rsidR="00D6117B" w:rsidRDefault="00D6117B" w:rsidP="007B78A6">
      <w:pPr>
        <w:pStyle w:val="0Maintext"/>
        <w:spacing w:after="120" w:afterAutospacing="0" w:line="240" w:lineRule="auto"/>
        <w:ind w:firstLine="0"/>
        <w:rPr>
          <w:lang w:val="en-US" w:eastAsia="zh-CN"/>
        </w:rPr>
      </w:pPr>
      <w:r>
        <w:rPr>
          <w:lang w:val="en-US" w:eastAsia="zh-CN"/>
        </w:rPr>
        <w:t xml:space="preserve">Since power boosting is precluded, the transmission power for each layer should be no more than 1/v, where v indicates the number of layers. Then only Alt 1/2/6 can meet this criterion. </w:t>
      </w:r>
      <w:r w:rsidR="007F53C0">
        <w:rPr>
          <w:lang w:val="en-US" w:eastAsia="zh-CN"/>
        </w:rPr>
        <w:t>The NW should configure the power scaling in a rank-common manner. Thus, the power scaling configuration should be common for both rank 1 and rank 2. Then the power scaling should be defined as an upper limit for each beam. Therefore, Alt1 should be supported, which are based on two upper limit – upper limit for the transmission power for each layer and the upper limit for the beam.</w:t>
      </w:r>
    </w:p>
    <w:p w:rsidR="00117472" w:rsidRPr="007F53C0" w:rsidRDefault="007F53C0" w:rsidP="007B78A6">
      <w:pPr>
        <w:pStyle w:val="0Maintext"/>
        <w:spacing w:after="120" w:afterAutospacing="0" w:line="240" w:lineRule="auto"/>
        <w:ind w:firstLine="0"/>
        <w:rPr>
          <w:b/>
          <w:bCs/>
          <w:i/>
          <w:iCs/>
          <w:lang w:val="en-US" w:eastAsia="zh-CN"/>
        </w:rPr>
      </w:pPr>
      <w:r w:rsidRPr="007F53C0">
        <w:rPr>
          <w:b/>
          <w:bCs/>
          <w:i/>
          <w:iCs/>
          <w:lang w:val="en-US" w:eastAsia="zh-CN"/>
        </w:rPr>
        <w:t xml:space="preserve">Proposal 2: For power scaling for rank 2, support </w:t>
      </w:r>
      <w:r w:rsidRPr="007F53C0">
        <w:rPr>
          <w:rFonts w:eastAsia="DengXian"/>
          <w:b/>
          <w:bCs/>
          <w:i/>
          <w:iCs/>
          <w:lang w:val="de-DE"/>
        </w:rPr>
        <w:t xml:space="preserve">Alt1: </w:t>
      </w:r>
      <m:oMath>
        <m:r>
          <m:rPr>
            <m:sty m:val="bi"/>
          </m:rPr>
          <w:rPr>
            <w:rFonts w:ascii="Cambria Math" w:hAnsi="Cambria Math"/>
            <w:lang w:val="de-DE"/>
          </w:rPr>
          <m:t>min</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lang w:val="de-DE"/>
                  </w:rPr>
                  <m:t>1</m:t>
                </m:r>
              </m:num>
              <m:den>
                <m:r>
                  <m:rPr>
                    <m:sty m:val="bi"/>
                  </m:rPr>
                  <w:rPr>
                    <w:rFonts w:ascii="Cambria Math" w:hAnsi="Cambria Math"/>
                  </w:rPr>
                  <m:t>υ</m:t>
                </m:r>
              </m:den>
            </m:f>
            <m:r>
              <m:rPr>
                <m:sty m:val="bi"/>
              </m:rPr>
              <w:rPr>
                <w:rFonts w:ascii="Cambria Math" w:hAnsi="Cambria Math"/>
                <w:lang w:val="de-DE"/>
              </w:rPr>
              <m:t>,</m:t>
            </m:r>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lang w:val="de-DE"/>
                      </w:rPr>
                      <m:t>s</m:t>
                    </m:r>
                  </m:e>
                  <m:sub>
                    <m:r>
                      <m:rPr>
                        <m:sty m:val="bi"/>
                      </m:rPr>
                      <w:rPr>
                        <w:rFonts w:ascii="Cambria Math" w:hAnsi="Cambria Math"/>
                        <w:lang w:val="de-DE"/>
                      </w:rPr>
                      <m:t>i</m:t>
                    </m:r>
                  </m:sub>
                  <m:sup>
                    <m:r>
                      <m:rPr>
                        <m:sty m:val="bi"/>
                      </m:rPr>
                      <w:rPr>
                        <w:rFonts w:ascii="Cambria Math" w:hAnsi="Cambria Math"/>
                        <w:lang w:val="de-DE"/>
                      </w:rPr>
                      <m:t>2</m:t>
                    </m:r>
                  </m:sup>
                </m:sSubSup>
              </m:num>
              <m:den>
                <m:sSub>
                  <m:sSubPr>
                    <m:ctrlPr>
                      <w:rPr>
                        <w:rFonts w:ascii="Cambria Math" w:hAnsi="Cambria Math"/>
                        <w:b/>
                        <w:bCs/>
                        <w:i/>
                        <w:iCs/>
                      </w:rPr>
                    </m:ctrlPr>
                  </m:sSubPr>
                  <m:e>
                    <m:r>
                      <m:rPr>
                        <m:sty m:val="bi"/>
                      </m:rPr>
                      <w:rPr>
                        <w:rFonts w:ascii="Cambria Math" w:hAnsi="Cambria Math"/>
                        <w:lang w:val="de-DE"/>
                      </w:rPr>
                      <m:t>r</m:t>
                    </m:r>
                  </m:e>
                  <m:sub>
                    <m:r>
                      <m:rPr>
                        <m:sty m:val="bi"/>
                      </m:rPr>
                      <w:rPr>
                        <w:rFonts w:ascii="Cambria Math" w:hAnsi="Cambria Math"/>
                        <w:lang w:val="de-DE"/>
                      </w:rPr>
                      <m:t>i</m:t>
                    </m:r>
                  </m:sub>
                </m:sSub>
              </m:den>
            </m:f>
          </m:e>
        </m:d>
      </m:oMath>
      <w:r w:rsidRPr="007F53C0">
        <w:rPr>
          <w:b/>
          <w:bCs/>
          <w:i/>
          <w:iCs/>
          <w:lang w:val="en-US" w:eastAsia="zh-CN"/>
        </w:rPr>
        <w:t>.</w:t>
      </w:r>
    </w:p>
    <w:p w:rsidR="004101C9" w:rsidRDefault="004101C9" w:rsidP="00475974">
      <w:pPr>
        <w:pStyle w:val="0Maintext"/>
        <w:spacing w:after="120" w:afterAutospacing="0" w:line="240" w:lineRule="auto"/>
        <w:ind w:firstLine="0"/>
        <w:rPr>
          <w:lang w:val="en-US" w:eastAsia="zh-CN"/>
        </w:rPr>
      </w:pPr>
    </w:p>
    <w:p w:rsidR="003B6D36" w:rsidRDefault="003B6D36" w:rsidP="003B6D36">
      <w:pPr>
        <w:pStyle w:val="Heading2"/>
      </w:pPr>
      <w:r>
        <w:t>PD-NES and Type1 SD-NES</w:t>
      </w:r>
    </w:p>
    <w:p w:rsidR="003B6D36" w:rsidRDefault="003B6D36" w:rsidP="00475974">
      <w:pPr>
        <w:pStyle w:val="0Maintext"/>
        <w:spacing w:after="120" w:afterAutospacing="0" w:line="240" w:lineRule="auto"/>
        <w:ind w:firstLine="0"/>
        <w:rPr>
          <w:lang w:val="en-US" w:eastAsia="zh-CN"/>
        </w:rPr>
      </w:pPr>
      <w:r>
        <w:rPr>
          <w:lang w:val="en-US" w:eastAsia="zh-CN"/>
        </w:rPr>
        <w:t xml:space="preserve">In RAN1 #118 meeting, the Type1 SD-NES for up to 128 ports based CSI has been agreed. In RAN1 #118b meeting, the following is agreed in Rel-18 maintenance for NES. Since for CSI measured based on different number of ports, the EPRE ratio between CSI-RS and PDSCH can be different, it is necessary to support PD-NES in addition to the Type1 SD-NES. </w:t>
      </w:r>
    </w:p>
    <w:tbl>
      <w:tblPr>
        <w:tblStyle w:val="TableGrid"/>
        <w:tblW w:w="0" w:type="auto"/>
        <w:tblLook w:val="04A0" w:firstRow="1" w:lastRow="0" w:firstColumn="1" w:lastColumn="0" w:noHBand="0" w:noVBand="1"/>
      </w:tblPr>
      <w:tblGrid>
        <w:gridCol w:w="9010"/>
      </w:tblGrid>
      <w:tr w:rsidR="003B6D36" w:rsidRPr="003B6D36" w:rsidTr="003B6D36">
        <w:tc>
          <w:tcPr>
            <w:tcW w:w="9010" w:type="dxa"/>
          </w:tcPr>
          <w:p w:rsidR="003B6D36" w:rsidRPr="003B6D36" w:rsidRDefault="003B6D36" w:rsidP="003B6D36">
            <w:pPr>
              <w:rPr>
                <w:b/>
                <w:sz w:val="20"/>
                <w:szCs w:val="20"/>
              </w:rPr>
            </w:pPr>
            <w:r w:rsidRPr="003B6D36">
              <w:rPr>
                <w:b/>
                <w:sz w:val="20"/>
                <w:szCs w:val="20"/>
                <w:highlight w:val="green"/>
              </w:rPr>
              <w:t>Agreement</w:t>
            </w:r>
          </w:p>
          <w:p w:rsidR="003B6D36" w:rsidRPr="003B6D36" w:rsidRDefault="003B6D36" w:rsidP="003B6D36">
            <w:pPr>
              <w:rPr>
                <w:bCs/>
                <w:sz w:val="20"/>
                <w:szCs w:val="20"/>
              </w:rPr>
            </w:pPr>
            <w:r w:rsidRPr="003B6D36">
              <w:rPr>
                <w:rFonts w:eastAsiaTheme="minorEastAsia" w:hint="eastAsia"/>
                <w:bCs/>
                <w:sz w:val="20"/>
                <w:szCs w:val="20"/>
              </w:rPr>
              <w:t xml:space="preserve">UEs supporting Type 1 SD is </w:t>
            </w:r>
            <w:r w:rsidRPr="003B6D36">
              <w:rPr>
                <w:rFonts w:eastAsiaTheme="minorEastAsia"/>
                <w:bCs/>
                <w:sz w:val="20"/>
                <w:szCs w:val="20"/>
              </w:rPr>
              <w:t>mandated</w:t>
            </w:r>
            <w:r w:rsidRPr="003B6D36">
              <w:rPr>
                <w:rFonts w:eastAsiaTheme="minorEastAsia" w:hint="eastAsia"/>
                <w:bCs/>
                <w:sz w:val="20"/>
                <w:szCs w:val="20"/>
              </w:rPr>
              <w:t xml:space="preserve"> </w:t>
            </w:r>
            <w:r w:rsidRPr="003B6D36">
              <w:rPr>
                <w:rFonts w:eastAsiaTheme="minorEastAsia"/>
                <w:bCs/>
                <w:sz w:val="20"/>
                <w:szCs w:val="20"/>
              </w:rPr>
              <w:t>to support feature group 42-6 (joint type 1 SD + PD)</w:t>
            </w:r>
            <w:r w:rsidRPr="003B6D36">
              <w:rPr>
                <w:rFonts w:eastAsiaTheme="minorEastAsia" w:hint="eastAsia"/>
                <w:bCs/>
                <w:sz w:val="20"/>
                <w:szCs w:val="20"/>
              </w:rPr>
              <w:t>.</w:t>
            </w:r>
            <w:r w:rsidRPr="003B6D36">
              <w:rPr>
                <w:rFonts w:eastAsiaTheme="minorEastAsia"/>
                <w:bCs/>
                <w:sz w:val="20"/>
                <w:szCs w:val="20"/>
              </w:rPr>
              <w:t xml:space="preserve"> </w:t>
            </w:r>
            <w:r w:rsidRPr="003B6D36">
              <w:rPr>
                <w:rFonts w:eastAsiaTheme="minorEastAsia" w:hint="eastAsia"/>
                <w:bCs/>
                <w:sz w:val="20"/>
                <w:szCs w:val="20"/>
              </w:rPr>
              <w:t xml:space="preserve">Update UE feature description </w:t>
            </w:r>
            <w:r w:rsidRPr="003B6D36">
              <w:rPr>
                <w:rFonts w:eastAsiaTheme="minorEastAsia"/>
                <w:bCs/>
                <w:sz w:val="20"/>
                <w:szCs w:val="20"/>
              </w:rPr>
              <w:t>accordingly.</w:t>
            </w:r>
          </w:p>
          <w:p w:rsidR="003B6D36" w:rsidRPr="003B6D36" w:rsidRDefault="003B6D36" w:rsidP="00475974">
            <w:pPr>
              <w:pStyle w:val="0Maintext"/>
              <w:spacing w:after="120" w:afterAutospacing="0" w:line="240" w:lineRule="auto"/>
              <w:ind w:firstLine="0"/>
              <w:rPr>
                <w:lang w:val="en-US" w:eastAsia="zh-CN"/>
              </w:rPr>
            </w:pPr>
          </w:p>
        </w:tc>
      </w:tr>
    </w:tbl>
    <w:p w:rsidR="003B6D36" w:rsidRDefault="003B6D36" w:rsidP="00475974">
      <w:pPr>
        <w:pStyle w:val="0Maintext"/>
        <w:spacing w:after="120" w:afterAutospacing="0" w:line="240" w:lineRule="auto"/>
        <w:ind w:firstLine="0"/>
        <w:rPr>
          <w:lang w:val="en-US" w:eastAsia="zh-CN"/>
        </w:rPr>
      </w:pPr>
    </w:p>
    <w:p w:rsidR="003B6D36" w:rsidRPr="003B6D36" w:rsidRDefault="003B6D36" w:rsidP="00475974">
      <w:pPr>
        <w:pStyle w:val="0Maintext"/>
        <w:spacing w:after="120" w:afterAutospacing="0" w:line="240" w:lineRule="auto"/>
        <w:ind w:firstLine="0"/>
        <w:rPr>
          <w:b/>
          <w:bCs/>
          <w:i/>
          <w:iCs/>
          <w:lang w:val="en-US" w:eastAsia="zh-CN"/>
        </w:rPr>
      </w:pPr>
      <w:r w:rsidRPr="003B6D36">
        <w:rPr>
          <w:b/>
          <w:bCs/>
          <w:i/>
          <w:iCs/>
          <w:lang w:val="en-US" w:eastAsia="zh-CN"/>
        </w:rPr>
        <w:t>Proposal 3: Support PD-NES for CSI report based on up to 128 ports.</w:t>
      </w:r>
    </w:p>
    <w:p w:rsidR="003B6D36" w:rsidRDefault="003B6D36" w:rsidP="00475974">
      <w:pPr>
        <w:pStyle w:val="0Maintext"/>
        <w:spacing w:after="120" w:afterAutospacing="0" w:line="240" w:lineRule="auto"/>
        <w:ind w:firstLine="0"/>
        <w:rPr>
          <w:lang w:val="en-US" w:eastAsia="zh-CN"/>
        </w:rPr>
      </w:pPr>
    </w:p>
    <w:p w:rsidR="005E2CF1" w:rsidRDefault="005E2CF1" w:rsidP="005E2CF1">
      <w:pPr>
        <w:pStyle w:val="Heading1"/>
      </w:pPr>
      <w:r>
        <w:t>Inter-TRP time/frequency offset report for CJT</w:t>
      </w:r>
    </w:p>
    <w:p w:rsidR="005E2CF1" w:rsidRDefault="005E2CF1" w:rsidP="005E2CF1">
      <w:pPr>
        <w:pStyle w:val="Heading2"/>
      </w:pPr>
      <w:r>
        <w:t>CMR configuration</w:t>
      </w:r>
    </w:p>
    <w:p w:rsidR="00AC628B" w:rsidRDefault="00AC628B" w:rsidP="00475974">
      <w:pPr>
        <w:pStyle w:val="0Maintext"/>
        <w:spacing w:after="120" w:afterAutospacing="0" w:line="240" w:lineRule="auto"/>
        <w:ind w:firstLine="0"/>
        <w:rPr>
          <w:lang w:val="en-US" w:eastAsia="zh-CN"/>
        </w:rPr>
      </w:pPr>
      <w:r>
        <w:rPr>
          <w:lang w:val="en-US" w:eastAsia="zh-CN"/>
        </w:rPr>
        <w:t>In RAN1 #116b, the following on CMR configuration has been agreed.</w:t>
      </w:r>
    </w:p>
    <w:tbl>
      <w:tblPr>
        <w:tblStyle w:val="TableGrid"/>
        <w:tblW w:w="0" w:type="auto"/>
        <w:tblLook w:val="04A0" w:firstRow="1" w:lastRow="0" w:firstColumn="1" w:lastColumn="0" w:noHBand="0" w:noVBand="1"/>
      </w:tblPr>
      <w:tblGrid>
        <w:gridCol w:w="9010"/>
      </w:tblGrid>
      <w:tr w:rsidR="00AC628B" w:rsidTr="00AC628B">
        <w:tc>
          <w:tcPr>
            <w:tcW w:w="9010" w:type="dxa"/>
          </w:tcPr>
          <w:p w:rsidR="00AC628B" w:rsidRPr="004806EE" w:rsidRDefault="00AC628B" w:rsidP="00AC628B">
            <w:pPr>
              <w:adjustRightInd w:val="0"/>
              <w:snapToGrid w:val="0"/>
              <w:rPr>
                <w:b/>
                <w:bCs/>
                <w:sz w:val="20"/>
                <w:szCs w:val="20"/>
                <w:highlight w:val="green"/>
              </w:rPr>
            </w:pPr>
            <w:r w:rsidRPr="004806EE">
              <w:rPr>
                <w:b/>
                <w:bCs/>
                <w:sz w:val="20"/>
                <w:szCs w:val="20"/>
                <w:highlight w:val="green"/>
              </w:rPr>
              <w:t>Agreement</w:t>
            </w:r>
          </w:p>
          <w:p w:rsidR="00AC628B" w:rsidRPr="004806EE" w:rsidRDefault="00AC628B" w:rsidP="00AC628B">
            <w:pPr>
              <w:widowControl w:val="0"/>
              <w:snapToGrid w:val="0"/>
              <w:rPr>
                <w:iCs/>
                <w:sz w:val="20"/>
                <w:szCs w:val="20"/>
              </w:rPr>
            </w:pPr>
            <w:r w:rsidRPr="004806EE">
              <w:rPr>
                <w:rFonts w:eastAsia="Calibri"/>
                <w:sz w:val="20"/>
                <w:szCs w:val="20"/>
              </w:rPr>
              <w:t xml:space="preserve">For the Rel-19 aperiodic standalone CJT calibration reporting, regarding the </w:t>
            </w:r>
            <w:r w:rsidRPr="004806EE">
              <w:rPr>
                <w:iCs/>
                <w:sz w:val="20"/>
                <w:szCs w:val="20"/>
              </w:rPr>
              <w:t>applicable type(s) of the configured N</w:t>
            </w:r>
            <w:r w:rsidRPr="004806EE">
              <w:rPr>
                <w:iCs/>
                <w:sz w:val="20"/>
                <w:szCs w:val="20"/>
                <w:vertAlign w:val="subscript"/>
              </w:rPr>
              <w:t>TRP</w:t>
            </w:r>
            <w:r w:rsidRPr="004806EE">
              <w:rPr>
                <w:iCs/>
                <w:sz w:val="20"/>
                <w:szCs w:val="20"/>
              </w:rPr>
              <w:t xml:space="preserve"> NZP CSI-RS resources/resource sets </w:t>
            </w:r>
            <w:r w:rsidRPr="004806EE">
              <w:rPr>
                <w:sz w:val="20"/>
                <w:szCs w:val="20"/>
              </w:rPr>
              <w:t>when ReportQuantity is ‘cjtc-Dd’ (Doffset+d) or ‘cjtc-F’ (frequency offset)</w:t>
            </w:r>
            <w:r w:rsidRPr="004806EE">
              <w:rPr>
                <w:iCs/>
                <w:sz w:val="20"/>
                <w:szCs w:val="20"/>
              </w:rPr>
              <w:t>, periodic TRS (‘CSI-RS for tracking’) resource set is used for each of the N</w:t>
            </w:r>
            <w:r w:rsidRPr="004806EE">
              <w:rPr>
                <w:iCs/>
                <w:sz w:val="20"/>
                <w:szCs w:val="20"/>
                <w:vertAlign w:val="subscript"/>
              </w:rPr>
              <w:t>TRP</w:t>
            </w:r>
            <w:r w:rsidRPr="004806EE">
              <w:rPr>
                <w:iCs/>
                <w:sz w:val="20"/>
                <w:szCs w:val="20"/>
              </w:rPr>
              <w:t xml:space="preserve"> NZP CSI-RS resource sets</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Extend the maximum allowed number of TRS resource sets to 4 (note: legacy supports max. 3 from Rel-18 TDCP)</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rFonts w:eastAsia="Times New Roman"/>
                <w:szCs w:val="20"/>
              </w:rPr>
              <w:t>FFS: Whether all the resources across the N</w:t>
            </w:r>
            <w:r w:rsidRPr="004806EE">
              <w:rPr>
                <w:rFonts w:eastAsia="Times New Roman"/>
                <w:szCs w:val="20"/>
                <w:vertAlign w:val="subscript"/>
              </w:rPr>
              <w:t>TRP</w:t>
            </w:r>
            <w:r w:rsidRPr="004806EE">
              <w:rPr>
                <w:rFonts w:eastAsia="Times New Roman"/>
                <w:szCs w:val="20"/>
              </w:rPr>
              <w:t> TRS resource sets are configured with the same bandwidth</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Whether aperiodic TRS resource set can also be used</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Whether CSI-RS for CSI can also be used</w:t>
            </w:r>
          </w:p>
          <w:p w:rsidR="00AC628B" w:rsidRPr="004806EE" w:rsidRDefault="00AC628B" w:rsidP="00AC628B">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AC628B" w:rsidRPr="004806EE" w:rsidRDefault="00AC628B" w:rsidP="00AC628B">
            <w:pPr>
              <w:pStyle w:val="ListParagraph"/>
              <w:numPr>
                <w:ilvl w:val="0"/>
                <w:numId w:val="717"/>
              </w:numPr>
              <w:snapToGrid w:val="0"/>
              <w:ind w:leftChars="0"/>
              <w:rPr>
                <w:rFonts w:eastAsia="Times New Roman"/>
                <w:szCs w:val="20"/>
              </w:rPr>
            </w:pPr>
            <w:r w:rsidRPr="004806EE">
              <w:rPr>
                <w:szCs w:val="20"/>
              </w:rPr>
              <w:t xml:space="preserve">FFS: additional time separation between RSs </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The exact number of CSI-RS resource(s) within each TRS resource set</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applicable type(s) if joint reporting of both Doffset/d and FO is supported</w:t>
            </w:r>
          </w:p>
          <w:p w:rsidR="00AC628B" w:rsidRPr="004806EE" w:rsidRDefault="00AC628B" w:rsidP="00AC628B">
            <w:pPr>
              <w:widowControl w:val="0"/>
              <w:snapToGrid w:val="0"/>
              <w:rPr>
                <w:b/>
                <w:bCs/>
                <w:sz w:val="20"/>
                <w:szCs w:val="20"/>
                <w:u w:val="single"/>
              </w:rPr>
            </w:pPr>
          </w:p>
          <w:p w:rsidR="00AC628B" w:rsidRPr="004806EE" w:rsidRDefault="00AC628B" w:rsidP="00AC628B">
            <w:pPr>
              <w:adjustRightInd w:val="0"/>
              <w:snapToGrid w:val="0"/>
              <w:rPr>
                <w:b/>
                <w:bCs/>
                <w:sz w:val="20"/>
                <w:szCs w:val="20"/>
                <w:highlight w:val="green"/>
              </w:rPr>
            </w:pPr>
            <w:r w:rsidRPr="004806EE">
              <w:rPr>
                <w:b/>
                <w:bCs/>
                <w:sz w:val="20"/>
                <w:szCs w:val="20"/>
                <w:highlight w:val="green"/>
              </w:rPr>
              <w:t>Agreement</w:t>
            </w:r>
          </w:p>
          <w:p w:rsidR="00AC628B" w:rsidRPr="004806EE" w:rsidRDefault="00AC628B" w:rsidP="00AC628B">
            <w:pPr>
              <w:snapToGrid w:val="0"/>
              <w:rPr>
                <w:sz w:val="20"/>
                <w:szCs w:val="20"/>
              </w:rPr>
            </w:pPr>
            <w:r w:rsidRPr="004806EE">
              <w:rPr>
                <w:rFonts w:cs="Times"/>
                <w:sz w:val="20"/>
                <w:szCs w:val="20"/>
              </w:rPr>
              <w:t xml:space="preserve">For the Rel-19 aperiodic standalone CJT calibration reporting, regarding the </w:t>
            </w:r>
            <w:r w:rsidRPr="004806EE">
              <w:rPr>
                <w:sz w:val="20"/>
                <w:szCs w:val="20"/>
              </w:rPr>
              <w:t>applicable type(s) of the configured N</w:t>
            </w:r>
            <w:r w:rsidRPr="004806EE">
              <w:rPr>
                <w:sz w:val="20"/>
                <w:szCs w:val="20"/>
                <w:vertAlign w:val="subscript"/>
              </w:rPr>
              <w:t>TRP</w:t>
            </w:r>
            <w:r w:rsidRPr="004806EE">
              <w:rPr>
                <w:sz w:val="20"/>
                <w:szCs w:val="20"/>
              </w:rPr>
              <w:t xml:space="preserve"> NZP CSI-RS resources/resource sets when ReportQuantity is ‘cjtc-P’ (DL/UL phase offset), single-port CSI-RS(s) for CSI is used </w:t>
            </w:r>
          </w:p>
          <w:p w:rsidR="00AC628B" w:rsidRPr="004806EE" w:rsidRDefault="00AC628B" w:rsidP="00AC628B">
            <w:pPr>
              <w:numPr>
                <w:ilvl w:val="0"/>
                <w:numId w:val="717"/>
              </w:numPr>
              <w:snapToGrid w:val="0"/>
              <w:rPr>
                <w:rFonts w:eastAsia="SimSun"/>
                <w:sz w:val="20"/>
                <w:szCs w:val="20"/>
              </w:rPr>
            </w:pPr>
            <w:r w:rsidRPr="004806EE">
              <w:rPr>
                <w:rFonts w:eastAsia="SimSun"/>
                <w:sz w:val="20"/>
                <w:szCs w:val="20"/>
              </w:rPr>
              <w:t xml:space="preserve">FFS: Whether multi-port CSI-RS for CSI can also be used </w:t>
            </w:r>
          </w:p>
          <w:p w:rsidR="00AC628B" w:rsidRPr="004806EE" w:rsidRDefault="00AC628B" w:rsidP="00AC628B">
            <w:pPr>
              <w:numPr>
                <w:ilvl w:val="0"/>
                <w:numId w:val="717"/>
              </w:numPr>
              <w:snapToGrid w:val="0"/>
              <w:rPr>
                <w:rFonts w:ascii="SimSun" w:eastAsia="SimSun" w:hAnsi="SimSun"/>
                <w:sz w:val="20"/>
                <w:szCs w:val="20"/>
              </w:rPr>
            </w:pPr>
            <w:r w:rsidRPr="004806EE">
              <w:rPr>
                <w:sz w:val="20"/>
                <w:szCs w:val="20"/>
              </w:rPr>
              <w:t>FFS: Whether all the ‘CSI-RS for CSI’ resources within each resource set follow the legacy pre-Rel-19 rules of CSI-RS resources associated with a same resource set, and whether only 1 or N</w:t>
            </w:r>
            <w:r w:rsidRPr="004806EE">
              <w:rPr>
                <w:sz w:val="20"/>
                <w:szCs w:val="20"/>
                <w:vertAlign w:val="subscript"/>
              </w:rPr>
              <w:t>TRP</w:t>
            </w:r>
            <w:r w:rsidRPr="004806EE">
              <w:rPr>
                <w:sz w:val="20"/>
                <w:szCs w:val="20"/>
              </w:rPr>
              <w:t xml:space="preserve"> &gt;1 resource sets are used</w:t>
            </w:r>
          </w:p>
          <w:p w:rsidR="00AC628B" w:rsidRPr="004806EE" w:rsidRDefault="00AC628B" w:rsidP="00AC628B">
            <w:pPr>
              <w:numPr>
                <w:ilvl w:val="0"/>
                <w:numId w:val="717"/>
              </w:numPr>
              <w:snapToGrid w:val="0"/>
              <w:rPr>
                <w:rFonts w:ascii="SimSun" w:eastAsia="SimSun" w:hAnsi="SimSun"/>
                <w:sz w:val="20"/>
                <w:szCs w:val="20"/>
              </w:rPr>
            </w:pPr>
            <w:r w:rsidRPr="004806EE">
              <w:rPr>
                <w:sz w:val="20"/>
                <w:szCs w:val="20"/>
              </w:rPr>
              <w:t>FFS: The exact number of CSI-RS resource(s) within each resource set</w:t>
            </w:r>
          </w:p>
          <w:p w:rsidR="00AC628B" w:rsidRPr="004806EE" w:rsidRDefault="00AC628B" w:rsidP="00AC628B">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AC628B" w:rsidRPr="004806EE" w:rsidRDefault="00AC628B" w:rsidP="00AC628B">
            <w:pPr>
              <w:pStyle w:val="ListParagraph"/>
              <w:numPr>
                <w:ilvl w:val="0"/>
                <w:numId w:val="717"/>
              </w:numPr>
              <w:snapToGrid w:val="0"/>
              <w:ind w:leftChars="0"/>
              <w:rPr>
                <w:rFonts w:eastAsia="Times New Roman"/>
                <w:szCs w:val="20"/>
              </w:rPr>
            </w:pPr>
            <w:r w:rsidRPr="004806EE">
              <w:rPr>
                <w:szCs w:val="20"/>
              </w:rPr>
              <w:t>FFS: additional restrictions e.g. time separation between RSs, bandwidth</w:t>
            </w:r>
          </w:p>
          <w:p w:rsidR="00AC628B" w:rsidRPr="00AC628B" w:rsidRDefault="00AC628B" w:rsidP="00475974">
            <w:pPr>
              <w:pStyle w:val="0Maintext"/>
              <w:spacing w:after="120" w:afterAutospacing="0" w:line="240" w:lineRule="auto"/>
              <w:ind w:firstLine="0"/>
              <w:rPr>
                <w:lang w:eastAsia="zh-CN"/>
              </w:rPr>
            </w:pPr>
          </w:p>
        </w:tc>
      </w:tr>
    </w:tbl>
    <w:p w:rsidR="00AC628B" w:rsidRDefault="00AC628B" w:rsidP="00475974">
      <w:pPr>
        <w:pStyle w:val="0Maintext"/>
        <w:spacing w:after="120" w:afterAutospacing="0" w:line="240" w:lineRule="auto"/>
        <w:ind w:firstLine="0"/>
        <w:rPr>
          <w:lang w:val="en-US" w:eastAsia="zh-CN"/>
        </w:rPr>
      </w:pPr>
    </w:p>
    <w:p w:rsidR="00AC628B" w:rsidRDefault="00AC628B" w:rsidP="00475974">
      <w:pPr>
        <w:pStyle w:val="0Maintext"/>
        <w:spacing w:after="120" w:afterAutospacing="0" w:line="240" w:lineRule="auto"/>
        <w:ind w:firstLine="0"/>
        <w:rPr>
          <w:lang w:val="en-US" w:eastAsia="zh-CN"/>
        </w:rPr>
      </w:pPr>
      <w:r>
        <w:rPr>
          <w:lang w:val="en-US" w:eastAsia="zh-CN"/>
        </w:rPr>
        <w:t xml:space="preserve">For DO and FO report, the remaining issue is the additional constraints for the TRSs configured as CMR. For TRS, a few constraints have already been defined. The DO and FO measurement do not require cross-TRS </w:t>
      </w:r>
      <w:r>
        <w:rPr>
          <w:lang w:val="en-US" w:eastAsia="zh-CN"/>
        </w:rPr>
        <w:lastRenderedPageBreak/>
        <w:t>measurement. But for single DO or FO report, it is better that the NW can configure whether the TRSs are based on pre-compensation of FO or DO or not. Then it could simplify the UE complexity.</w:t>
      </w:r>
    </w:p>
    <w:p w:rsidR="00AC628B" w:rsidRPr="00AC628B" w:rsidRDefault="00AC628B" w:rsidP="00475974">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3B6D36">
        <w:rPr>
          <w:b/>
          <w:bCs/>
          <w:i/>
          <w:iCs/>
          <w:lang w:val="en-US" w:eastAsia="zh-CN"/>
        </w:rPr>
        <w:t>4</w:t>
      </w:r>
      <w:r w:rsidRPr="00AC628B">
        <w:rPr>
          <w:b/>
          <w:bCs/>
          <w:i/>
          <w:iCs/>
          <w:lang w:val="en-US" w:eastAsia="zh-CN"/>
        </w:rPr>
        <w:t>: For the TRSs configured for DO report, support the NW configure the TCI states for the TRSs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FO): Separate TCI state for each TRS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FO): All the TRSs are configured with a common TCI state for </w:t>
      </w:r>
      <w:r>
        <w:rPr>
          <w:b/>
          <w:bCs/>
          <w:i/>
          <w:iCs/>
          <w:lang w:val="en-US" w:eastAsia="zh-CN"/>
        </w:rPr>
        <w:t>QCL-TypeC indication without average delay</w:t>
      </w:r>
      <w:r w:rsidRPr="00AC628B">
        <w:rPr>
          <w:b/>
          <w:bCs/>
          <w:i/>
          <w:iCs/>
          <w:lang w:val="en-US" w:eastAsia="zh-CN"/>
        </w:rPr>
        <w:t xml:space="preserve">, and each TRS is configured with a separate TCI state for </w:t>
      </w:r>
      <w:r>
        <w:rPr>
          <w:b/>
          <w:bCs/>
          <w:i/>
          <w:iCs/>
          <w:lang w:val="en-US" w:eastAsia="zh-CN"/>
        </w:rPr>
        <w:t>QCL-TypeC indication without Doppler shift</w:t>
      </w:r>
    </w:p>
    <w:p w:rsidR="00AC628B" w:rsidRPr="00AC628B" w:rsidRDefault="00AC628B" w:rsidP="00AC628B">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3B6D36">
        <w:rPr>
          <w:b/>
          <w:bCs/>
          <w:i/>
          <w:iCs/>
          <w:lang w:val="en-US" w:eastAsia="zh-CN"/>
        </w:rPr>
        <w:t>5</w:t>
      </w:r>
      <w:r w:rsidRPr="00AC628B">
        <w:rPr>
          <w:b/>
          <w:bCs/>
          <w:i/>
          <w:iCs/>
          <w:lang w:val="en-US" w:eastAsia="zh-CN"/>
        </w:rPr>
        <w:t>: For the TRSs configured for FO report, support the NW configure the TCI states for the TRSs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 Separate TCI state for each TRS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TRSs are configured with a common TCI state for </w:t>
      </w:r>
      <w:r>
        <w:rPr>
          <w:b/>
          <w:bCs/>
          <w:i/>
          <w:iCs/>
          <w:lang w:val="en-US" w:eastAsia="zh-CN"/>
        </w:rPr>
        <w:t>QCL-TypeC indication without Doppler shift</w:t>
      </w:r>
      <w:r w:rsidRPr="00AC628B">
        <w:rPr>
          <w:b/>
          <w:bCs/>
          <w:i/>
          <w:iCs/>
          <w:lang w:val="en-US" w:eastAsia="zh-CN"/>
        </w:rPr>
        <w:t xml:space="preserve">, and each TRS is configured with a separate TCI state for </w:t>
      </w:r>
      <w:r>
        <w:rPr>
          <w:b/>
          <w:bCs/>
          <w:i/>
          <w:iCs/>
          <w:lang w:val="en-US" w:eastAsia="zh-CN"/>
        </w:rPr>
        <w:t>QCL-TypeC indication without average delay</w:t>
      </w:r>
    </w:p>
    <w:p w:rsidR="00AC628B" w:rsidRDefault="00AC628B" w:rsidP="00475974">
      <w:pPr>
        <w:pStyle w:val="0Maintext"/>
        <w:spacing w:after="120" w:afterAutospacing="0" w:line="240" w:lineRule="auto"/>
        <w:ind w:firstLine="0"/>
        <w:rPr>
          <w:lang w:val="en-US" w:eastAsia="zh-CN"/>
        </w:rPr>
      </w:pPr>
    </w:p>
    <w:p w:rsidR="00AC628B" w:rsidRDefault="00AC628B" w:rsidP="00475974">
      <w:pPr>
        <w:pStyle w:val="0Maintext"/>
        <w:spacing w:after="120" w:afterAutospacing="0" w:line="240" w:lineRule="auto"/>
        <w:ind w:firstLine="0"/>
        <w:rPr>
          <w:lang w:val="en-US" w:eastAsia="zh-CN"/>
        </w:rPr>
      </w:pPr>
      <w:r>
        <w:rPr>
          <w:lang w:val="en-US" w:eastAsia="zh-CN"/>
        </w:rPr>
        <w:t>For PO report, single-port CSI-RS resources can be configured. To maintain the same measurement accuracy as DO/FO report, similar constraints as TRS can be considered, thus the minimum bandwidth for the single-port CSI-RS should be min(52, N</w:t>
      </w:r>
      <w:r w:rsidRPr="00AC628B">
        <w:rPr>
          <w:vertAlign w:val="subscript"/>
          <w:lang w:val="en-US" w:eastAsia="zh-CN"/>
        </w:rPr>
        <w:t>BWP</w:t>
      </w:r>
      <w:r>
        <w:rPr>
          <w:lang w:val="en-US" w:eastAsia="zh-CN"/>
        </w:rPr>
        <w:t>) RBs, where N</w:t>
      </w:r>
      <w:r w:rsidRPr="00AC628B">
        <w:rPr>
          <w:vertAlign w:val="subscript"/>
          <w:lang w:val="en-US" w:eastAsia="zh-CN"/>
        </w:rPr>
        <w:t>BWP</w:t>
      </w:r>
      <w:r>
        <w:rPr>
          <w:lang w:val="en-US" w:eastAsia="zh-CN"/>
        </w:rPr>
        <w:t xml:space="preserve"> is the number of RBs for the active DL BWP. The frequency domain density can be 3 REs/RB. In addition, the NW can configure the TCI state for the single-port CSI-RSs to tell the UE whether the DO/FO pre-compensation is performed. However, currently, only QCL-TypeB is allowed to be configured for CSI-RS for CSI when QCL-TypeD is not applicable. Then firstly the QCL-TypeC should be allowed for the QCL indication for the CSI-RS. Then the NW can configure whether the DO/FO is pre-compensated by configuring whether the CSI-RSs share a common average delay or Doppler shift.</w:t>
      </w:r>
    </w:p>
    <w:p w:rsidR="00AC628B" w:rsidRPr="00AC628B" w:rsidRDefault="00AC628B" w:rsidP="00475974">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3B6D36">
        <w:rPr>
          <w:b/>
          <w:bCs/>
          <w:i/>
          <w:iCs/>
          <w:lang w:val="en-US" w:eastAsia="zh-CN"/>
        </w:rPr>
        <w:t>6</w:t>
      </w:r>
      <w:r w:rsidRPr="00AC628B">
        <w:rPr>
          <w:b/>
          <w:bCs/>
          <w:i/>
          <w:iCs/>
          <w:lang w:val="en-US" w:eastAsia="zh-CN"/>
        </w:rPr>
        <w:t>: For PO report, support the following constraints for the single-port CSI-RS resources configured as CMR:</w:t>
      </w:r>
    </w:p>
    <w:p w:rsidR="00AC628B" w:rsidRPr="00AC628B" w:rsidRDefault="00AC628B" w:rsidP="00AC628B">
      <w:pPr>
        <w:pStyle w:val="0Maintext"/>
        <w:numPr>
          <w:ilvl w:val="0"/>
          <w:numId w:val="821"/>
        </w:numPr>
        <w:spacing w:after="120" w:afterAutospacing="0" w:line="240" w:lineRule="auto"/>
        <w:rPr>
          <w:b/>
          <w:bCs/>
          <w:i/>
          <w:iCs/>
          <w:lang w:val="en-US" w:eastAsia="zh-CN"/>
        </w:rPr>
      </w:pPr>
      <w:r w:rsidRPr="00AC628B">
        <w:rPr>
          <w:b/>
          <w:bCs/>
          <w:i/>
          <w:iCs/>
          <w:lang w:val="en-US" w:eastAsia="zh-CN"/>
        </w:rPr>
        <w:t>The minimum bandwidth for the single-port CSI-RS should be min(52, N</w:t>
      </w:r>
      <w:r w:rsidRPr="00AC628B">
        <w:rPr>
          <w:b/>
          <w:bCs/>
          <w:i/>
          <w:iCs/>
          <w:vertAlign w:val="subscript"/>
          <w:lang w:val="en-US" w:eastAsia="zh-CN"/>
        </w:rPr>
        <w:t>BWP</w:t>
      </w:r>
      <w:r w:rsidRPr="00AC628B">
        <w:rPr>
          <w:b/>
          <w:bCs/>
          <w:i/>
          <w:iCs/>
          <w:lang w:val="en-US" w:eastAsia="zh-CN"/>
        </w:rPr>
        <w:t>) RBs, where N</w:t>
      </w:r>
      <w:r w:rsidRPr="00AC628B">
        <w:rPr>
          <w:b/>
          <w:bCs/>
          <w:i/>
          <w:iCs/>
          <w:vertAlign w:val="subscript"/>
          <w:lang w:val="en-US" w:eastAsia="zh-CN"/>
        </w:rPr>
        <w:t>BWP</w:t>
      </w:r>
      <w:r w:rsidRPr="00AC628B">
        <w:rPr>
          <w:b/>
          <w:bCs/>
          <w:i/>
          <w:iCs/>
          <w:lang w:val="en-US" w:eastAsia="zh-CN"/>
        </w:rPr>
        <w:t xml:space="preserve"> is the number of RBs for the active DL BWP</w:t>
      </w:r>
    </w:p>
    <w:p w:rsidR="00AC628B" w:rsidRPr="00AC628B" w:rsidRDefault="00AC628B" w:rsidP="00AC628B">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frequency domain density </w:t>
      </w:r>
      <w:r w:rsidR="009267D8">
        <w:rPr>
          <w:b/>
          <w:bCs/>
          <w:i/>
          <w:iCs/>
          <w:lang w:val="en-US" w:eastAsia="zh-CN"/>
        </w:rPr>
        <w:t>should be</w:t>
      </w:r>
      <w:r w:rsidRPr="00AC628B">
        <w:rPr>
          <w:b/>
          <w:bCs/>
          <w:i/>
          <w:iCs/>
          <w:lang w:val="en-US" w:eastAsia="zh-CN"/>
        </w:rPr>
        <w:t xml:space="preserve"> 3 REs/RB</w:t>
      </w:r>
    </w:p>
    <w:p w:rsidR="00AC628B" w:rsidRDefault="00AC628B" w:rsidP="00475974">
      <w:pPr>
        <w:pStyle w:val="0Maintext"/>
        <w:spacing w:after="120" w:afterAutospacing="0" w:line="240" w:lineRule="auto"/>
        <w:ind w:firstLine="0"/>
        <w:rPr>
          <w:lang w:val="en-US" w:eastAsia="zh-CN"/>
        </w:rPr>
      </w:pPr>
    </w:p>
    <w:p w:rsidR="00AC628B" w:rsidRPr="00AC628B" w:rsidRDefault="00AC628B" w:rsidP="00AC628B">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3B6D36">
        <w:rPr>
          <w:b/>
          <w:bCs/>
          <w:i/>
          <w:iCs/>
          <w:lang w:val="en-US" w:eastAsia="zh-CN"/>
        </w:rPr>
        <w:t>7</w:t>
      </w:r>
      <w:r w:rsidRPr="00AC628B">
        <w:rPr>
          <w:b/>
          <w:bCs/>
          <w:i/>
          <w:iCs/>
          <w:lang w:val="en-US" w:eastAsia="zh-CN"/>
        </w:rPr>
        <w:t xml:space="preserve">: For the </w:t>
      </w:r>
      <w:r>
        <w:rPr>
          <w:b/>
          <w:bCs/>
          <w:i/>
          <w:iCs/>
          <w:lang w:val="en-US" w:eastAsia="zh-CN"/>
        </w:rPr>
        <w:t>single-port CSI-RS resources</w:t>
      </w:r>
      <w:r w:rsidRPr="00AC628B">
        <w:rPr>
          <w:b/>
          <w:bCs/>
          <w:i/>
          <w:iCs/>
          <w:lang w:val="en-US" w:eastAsia="zh-CN"/>
        </w:rPr>
        <w:t xml:space="preserve"> configured for FO report, support the NW configure the TCI states for the </w:t>
      </w:r>
      <w:r>
        <w:rPr>
          <w:b/>
          <w:bCs/>
          <w:i/>
          <w:iCs/>
          <w:lang w:val="en-US" w:eastAsia="zh-CN"/>
        </w:rPr>
        <w:t>CSI-RS resources</w:t>
      </w:r>
      <w:r w:rsidRPr="00AC628B">
        <w:rPr>
          <w:b/>
          <w:bCs/>
          <w:i/>
          <w:iCs/>
          <w:lang w:val="en-US" w:eastAsia="zh-CN"/>
        </w:rPr>
        <w:t xml:space="preserve">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w:t>
      </w:r>
      <w:r>
        <w:rPr>
          <w:b/>
          <w:bCs/>
          <w:i/>
          <w:iCs/>
          <w:lang w:val="en-US" w:eastAsia="zh-CN"/>
        </w:rPr>
        <w:t>/FO</w:t>
      </w:r>
      <w:r w:rsidRPr="00AC628B">
        <w:rPr>
          <w:b/>
          <w:bCs/>
          <w:i/>
          <w:iCs/>
          <w:lang w:val="en-US" w:eastAsia="zh-CN"/>
        </w:rPr>
        <w:t xml:space="preserve">): Separate TCI state </w:t>
      </w:r>
      <w:r>
        <w:rPr>
          <w:b/>
          <w:bCs/>
          <w:i/>
          <w:iCs/>
          <w:lang w:val="en-US" w:eastAsia="zh-CN"/>
        </w:rPr>
        <w:t xml:space="preserve">with QCL-TypeC indication </w:t>
      </w:r>
      <w:r w:rsidRPr="00AC628B">
        <w:rPr>
          <w:b/>
          <w:bCs/>
          <w:i/>
          <w:iCs/>
          <w:lang w:val="en-US" w:eastAsia="zh-CN"/>
        </w:rPr>
        <w:t xml:space="preserve">for each </w:t>
      </w:r>
      <w:r>
        <w:rPr>
          <w:b/>
          <w:bCs/>
          <w:i/>
          <w:iCs/>
          <w:lang w:val="en-US" w:eastAsia="zh-CN"/>
        </w:rPr>
        <w:t>CSI-RS resource</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Doppler shift</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average delay</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3</w:t>
      </w:r>
      <w:r w:rsidRPr="00AC628B">
        <w:rPr>
          <w:b/>
          <w:bCs/>
          <w:i/>
          <w:iCs/>
          <w:lang w:val="en-US" w:eastAsia="zh-CN"/>
        </w:rPr>
        <w:t xml:space="preserve"> (With pre-compensation of </w:t>
      </w:r>
      <w:r>
        <w:rPr>
          <w:b/>
          <w:bCs/>
          <w:i/>
          <w:iCs/>
          <w:lang w:val="en-US" w:eastAsia="zh-CN"/>
        </w:rPr>
        <w:t>F</w:t>
      </w:r>
      <w:r w:rsidRPr="00AC628B">
        <w:rPr>
          <w:b/>
          <w:bCs/>
          <w:i/>
          <w:iCs/>
          <w:lang w:val="en-US" w:eastAsia="zh-CN"/>
        </w:rPr>
        <w:t xml:space="preserve">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average delay</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Doppler shift</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4</w:t>
      </w:r>
      <w:r w:rsidRPr="00AC628B">
        <w:rPr>
          <w:b/>
          <w:bCs/>
          <w:i/>
          <w:iCs/>
          <w:lang w:val="en-US" w:eastAsia="zh-CN"/>
        </w:rPr>
        <w:t xml:space="preserve"> (With pre-compensation of DO</w:t>
      </w:r>
      <w:r>
        <w:rPr>
          <w:b/>
          <w:bCs/>
          <w:i/>
          <w:iCs/>
          <w:lang w:val="en-US" w:eastAsia="zh-CN"/>
        </w:rPr>
        <w:t xml:space="preserve"> and FO</w:t>
      </w:r>
      <w:r w:rsidRPr="00AC628B">
        <w:rPr>
          <w:b/>
          <w:bCs/>
          <w:i/>
          <w:iCs/>
          <w:lang w:val="en-US" w:eastAsia="zh-CN"/>
        </w:rPr>
        <w:t xml:space="preserve">):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 xml:space="preserve">QCL-TypeC </w:t>
      </w:r>
      <w:r w:rsidRPr="00AC628B">
        <w:rPr>
          <w:b/>
          <w:bCs/>
          <w:i/>
          <w:iCs/>
          <w:lang w:val="en-US" w:eastAsia="zh-CN"/>
        </w:rPr>
        <w:t>indication</w:t>
      </w:r>
    </w:p>
    <w:p w:rsidR="0050787A" w:rsidRDefault="0050787A" w:rsidP="00475974">
      <w:pPr>
        <w:pStyle w:val="0Maintext"/>
        <w:spacing w:after="120" w:afterAutospacing="0" w:line="240" w:lineRule="auto"/>
        <w:ind w:firstLine="0"/>
        <w:rPr>
          <w:lang w:val="en-US" w:eastAsia="zh-CN"/>
        </w:rPr>
      </w:pPr>
    </w:p>
    <w:p w:rsidR="005E2CF1" w:rsidRDefault="00B179E3" w:rsidP="005E2CF1">
      <w:pPr>
        <w:pStyle w:val="Heading2"/>
      </w:pPr>
      <w:r>
        <w:t>Associated SRS ports for PO measurement</w:t>
      </w:r>
    </w:p>
    <w:p w:rsidR="00B179E3" w:rsidRDefault="00B179E3" w:rsidP="00475974">
      <w:pPr>
        <w:pStyle w:val="0Maintext"/>
        <w:spacing w:after="120" w:afterAutospacing="0" w:line="240" w:lineRule="auto"/>
        <w:ind w:firstLine="0"/>
        <w:rPr>
          <w:lang w:val="en-US" w:eastAsia="zh-CN"/>
        </w:rPr>
      </w:pPr>
      <w:r>
        <w:rPr>
          <w:lang w:val="en-US" w:eastAsia="zh-CN"/>
        </w:rPr>
        <w:t>In RAN1 #11</w:t>
      </w:r>
      <w:r w:rsidR="000E56AD">
        <w:rPr>
          <w:lang w:val="en-US" w:eastAsia="zh-CN"/>
        </w:rPr>
        <w:t>8</w:t>
      </w:r>
      <w:r w:rsidR="007F53C0">
        <w:rPr>
          <w:lang w:val="en-US" w:eastAsia="zh-CN"/>
        </w:rPr>
        <w:t>b</w:t>
      </w:r>
      <w:r>
        <w:rPr>
          <w:lang w:val="en-US" w:eastAsia="zh-CN"/>
        </w:rPr>
        <w:t xml:space="preserve"> meeting, the following on associated SRS ports for PO measurement has been agreed.</w:t>
      </w:r>
    </w:p>
    <w:tbl>
      <w:tblPr>
        <w:tblStyle w:val="TableGrid"/>
        <w:tblW w:w="0" w:type="auto"/>
        <w:tblLook w:val="04A0" w:firstRow="1" w:lastRow="0" w:firstColumn="1" w:lastColumn="0" w:noHBand="0" w:noVBand="1"/>
      </w:tblPr>
      <w:tblGrid>
        <w:gridCol w:w="9010"/>
      </w:tblGrid>
      <w:tr w:rsidR="00B179E3" w:rsidTr="00B179E3">
        <w:tc>
          <w:tcPr>
            <w:tcW w:w="9010" w:type="dxa"/>
          </w:tcPr>
          <w:p w:rsidR="007F53C0" w:rsidRPr="000F5946" w:rsidRDefault="007F53C0" w:rsidP="007F53C0">
            <w:pPr>
              <w:snapToGrid w:val="0"/>
              <w:jc w:val="both"/>
              <w:rPr>
                <w:rFonts w:cs="Times"/>
                <w:b/>
                <w:sz w:val="20"/>
                <w:szCs w:val="20"/>
                <w:lang w:eastAsia="ko-KR"/>
              </w:rPr>
            </w:pPr>
            <w:r w:rsidRPr="000F5946">
              <w:rPr>
                <w:rFonts w:cs="Times" w:hint="eastAsia"/>
                <w:b/>
                <w:sz w:val="20"/>
                <w:szCs w:val="20"/>
                <w:highlight w:val="green"/>
                <w:lang w:eastAsia="ko-KR"/>
              </w:rPr>
              <w:t>Agreement</w:t>
            </w:r>
          </w:p>
          <w:p w:rsidR="007F53C0" w:rsidRPr="000F5946" w:rsidRDefault="007F53C0" w:rsidP="007F53C0">
            <w:pPr>
              <w:snapToGrid w:val="0"/>
              <w:rPr>
                <w:rFonts w:eastAsia="Malgun Gothic"/>
                <w:sz w:val="20"/>
                <w:szCs w:val="20"/>
              </w:rPr>
            </w:pPr>
            <w:r w:rsidRPr="000F5946">
              <w:rPr>
                <w:sz w:val="20"/>
                <w:szCs w:val="20"/>
              </w:rPr>
              <w:t xml:space="preserve">For the Rel-19 aperiodic standalone CJT calibration reporting, when ReportQuantity is ‘cjtc-P’ (DL/UL phase offset), </w:t>
            </w:r>
            <w:r w:rsidRPr="000F5946">
              <w:rPr>
                <w:rFonts w:eastAsia="Malgun Gothic"/>
                <w:sz w:val="20"/>
                <w:szCs w:val="20"/>
              </w:rPr>
              <w:t>regarding the configured associated SRS resource,</w:t>
            </w:r>
          </w:p>
          <w:p w:rsidR="007F53C0" w:rsidRPr="000F5946" w:rsidRDefault="007F53C0" w:rsidP="007F53C0">
            <w:pPr>
              <w:pStyle w:val="ListParagraph"/>
              <w:numPr>
                <w:ilvl w:val="0"/>
                <w:numId w:val="1054"/>
              </w:numPr>
              <w:snapToGrid w:val="0"/>
              <w:ind w:leftChars="0" w:left="400" w:hanging="400"/>
              <w:contextualSpacing/>
              <w:rPr>
                <w:rFonts w:eastAsia="Malgun Gothic"/>
                <w:szCs w:val="20"/>
              </w:rPr>
            </w:pPr>
            <w:r w:rsidRPr="000F5946">
              <w:rPr>
                <w:rFonts w:eastAsia="Malgun Gothic"/>
                <w:szCs w:val="20"/>
              </w:rPr>
              <w:lastRenderedPageBreak/>
              <w:t>Confirm the following working assumption as agreement: “the configured associated SRS resource can be either periodic, semi-persistent, or aperiodic”</w:t>
            </w:r>
          </w:p>
          <w:p w:rsidR="007F53C0" w:rsidRPr="000F5946" w:rsidRDefault="007F53C0" w:rsidP="007F53C0">
            <w:pPr>
              <w:numPr>
                <w:ilvl w:val="0"/>
                <w:numId w:val="1055"/>
              </w:numPr>
              <w:snapToGrid w:val="0"/>
              <w:contextualSpacing/>
              <w:rPr>
                <w:rFonts w:eastAsia="Malgun Gothic"/>
                <w:sz w:val="20"/>
                <w:szCs w:val="20"/>
              </w:rPr>
            </w:pPr>
            <w:r w:rsidRPr="000F5946">
              <w:rPr>
                <w:rFonts w:eastAsia="Malgun Gothic"/>
                <w:sz w:val="20"/>
                <w:szCs w:val="20"/>
              </w:rPr>
              <w:t>When periodic or semi-persistent associated SRS resource is configured, the SRS transmission occasion for determining the reference UE antenna port corresponds to the latest SRS transmission occasion before the occasions of the N</w:t>
            </w:r>
            <w:r w:rsidRPr="000F5946">
              <w:rPr>
                <w:rFonts w:eastAsia="Malgun Gothic"/>
                <w:sz w:val="20"/>
                <w:szCs w:val="20"/>
                <w:vertAlign w:val="subscript"/>
              </w:rPr>
              <w:t>TRP</w:t>
            </w:r>
            <w:r w:rsidRPr="000F5946">
              <w:rPr>
                <w:rFonts w:eastAsia="Malgun Gothic"/>
                <w:sz w:val="20"/>
                <w:szCs w:val="20"/>
              </w:rPr>
              <w:t xml:space="preserve"> CSI-RS resources used for measuring ‘cjtc-P’ report</w:t>
            </w:r>
          </w:p>
          <w:p w:rsidR="007F53C0" w:rsidRPr="000F5946" w:rsidRDefault="007F53C0" w:rsidP="007F53C0">
            <w:pPr>
              <w:numPr>
                <w:ilvl w:val="1"/>
                <w:numId w:val="1055"/>
              </w:numPr>
              <w:snapToGrid w:val="0"/>
              <w:contextualSpacing/>
              <w:rPr>
                <w:rFonts w:eastAsia="Malgun Gothic"/>
                <w:sz w:val="20"/>
                <w:szCs w:val="20"/>
              </w:rPr>
            </w:pPr>
            <w:r w:rsidRPr="000F5946">
              <w:rPr>
                <w:rFonts w:eastAsia="Malgun Gothic"/>
                <w:sz w:val="20"/>
                <w:szCs w:val="20"/>
              </w:rPr>
              <w:t>FFS: Whether ‘the earliest SRS transmission occasion after the N</w:t>
            </w:r>
            <w:r w:rsidRPr="000F5946">
              <w:rPr>
                <w:rFonts w:eastAsia="Malgun Gothic"/>
                <w:sz w:val="20"/>
                <w:szCs w:val="20"/>
                <w:vertAlign w:val="subscript"/>
              </w:rPr>
              <w:t>TRP</w:t>
            </w:r>
            <w:r w:rsidRPr="000F5946">
              <w:rPr>
                <w:rFonts w:eastAsia="Malgun Gothic"/>
                <w:sz w:val="20"/>
                <w:szCs w:val="20"/>
              </w:rPr>
              <w:t xml:space="preserve"> CSI-RS occasions’ is also supported as an option</w:t>
            </w:r>
          </w:p>
          <w:p w:rsidR="007F53C0" w:rsidRPr="007F53C0" w:rsidRDefault="007F53C0" w:rsidP="007F53C0">
            <w:pPr>
              <w:numPr>
                <w:ilvl w:val="1"/>
                <w:numId w:val="1055"/>
              </w:numPr>
              <w:snapToGrid w:val="0"/>
              <w:contextualSpacing/>
              <w:rPr>
                <w:rFonts w:eastAsia="Malgun Gothic"/>
                <w:sz w:val="20"/>
                <w:szCs w:val="20"/>
                <w:highlight w:val="yellow"/>
              </w:rPr>
            </w:pPr>
            <w:r w:rsidRPr="007F53C0">
              <w:rPr>
                <w:rFonts w:eastAsia="Malgun Gothic"/>
                <w:sz w:val="20"/>
                <w:szCs w:val="20"/>
                <w:highlight w:val="yellow"/>
              </w:rPr>
              <w:t>FFS: Whether determination of SRS transmission occasion is needed for aperiodic associated SRS resource, and if so, how</w:t>
            </w:r>
          </w:p>
          <w:p w:rsidR="00B179E3" w:rsidRDefault="00B179E3" w:rsidP="00475974">
            <w:pPr>
              <w:pStyle w:val="0Maintext"/>
              <w:spacing w:after="120" w:afterAutospacing="0" w:line="240" w:lineRule="auto"/>
              <w:ind w:firstLine="0"/>
              <w:rPr>
                <w:lang w:val="en-US" w:eastAsia="zh-CN"/>
              </w:rPr>
            </w:pPr>
          </w:p>
        </w:tc>
      </w:tr>
    </w:tbl>
    <w:p w:rsidR="00B179E3" w:rsidRDefault="00B179E3" w:rsidP="00475974">
      <w:pPr>
        <w:pStyle w:val="0Maintext"/>
        <w:spacing w:after="120" w:afterAutospacing="0" w:line="240" w:lineRule="auto"/>
        <w:ind w:firstLine="0"/>
        <w:rPr>
          <w:lang w:val="en-US" w:eastAsia="zh-CN"/>
        </w:rPr>
      </w:pPr>
    </w:p>
    <w:p w:rsidR="004222D7" w:rsidRPr="004222D7" w:rsidRDefault="00B179E3" w:rsidP="007F53C0">
      <w:pPr>
        <w:pStyle w:val="0Maintext"/>
        <w:spacing w:after="120" w:afterAutospacing="0" w:line="240" w:lineRule="auto"/>
        <w:ind w:firstLine="0"/>
        <w:rPr>
          <w:b/>
          <w:bCs/>
          <w:lang w:val="en-US" w:eastAsia="zh-CN"/>
        </w:rPr>
      </w:pPr>
      <w:r>
        <w:rPr>
          <w:lang w:val="en-US" w:eastAsia="zh-CN"/>
        </w:rPr>
        <w:t>A</w:t>
      </w:r>
      <w:r w:rsidR="007F53C0">
        <w:rPr>
          <w:lang w:val="en-US" w:eastAsia="zh-CN"/>
        </w:rPr>
        <w:t xml:space="preserve">n open issue is whether and how to define the associated SRS transmission occasion for aperiodic SRS resource. Similar to P/SP SRS resource, the aperiodic SRS can be transmitted multiple times, which are triggered by multiple DCIs. Then it is necessary to define the associated SRS transmission occasion for aperiodic SRS. One possible way is to reuse the definition for P/SP SRS. Thus, for aperiodic SRS, </w:t>
      </w:r>
      <w:r w:rsidR="007F53C0" w:rsidRPr="000F5946">
        <w:rPr>
          <w:rFonts w:eastAsia="Malgun Gothic"/>
        </w:rPr>
        <w:t>the SRS transmission occasion for determining the reference UE antenna port corresponds to the latest SRS transmission occasion before the occasions of the N</w:t>
      </w:r>
      <w:r w:rsidR="007F53C0" w:rsidRPr="000F5946">
        <w:rPr>
          <w:rFonts w:eastAsia="Malgun Gothic"/>
          <w:vertAlign w:val="subscript"/>
        </w:rPr>
        <w:t>TRP</w:t>
      </w:r>
      <w:r w:rsidR="007F53C0" w:rsidRPr="000F5946">
        <w:rPr>
          <w:rFonts w:eastAsia="Malgun Gothic"/>
        </w:rPr>
        <w:t xml:space="preserve"> CSI-RS resources used for measuring ‘cjtc-P’ report</w:t>
      </w:r>
      <w:r w:rsidR="007F53C0">
        <w:rPr>
          <w:rFonts w:eastAsia="Malgun Gothic"/>
        </w:rPr>
        <w:t>.</w:t>
      </w:r>
    </w:p>
    <w:p w:rsidR="00B179E3" w:rsidRPr="00B179E3" w:rsidRDefault="00B179E3" w:rsidP="00475974">
      <w:pPr>
        <w:pStyle w:val="0Maintext"/>
        <w:spacing w:after="120" w:afterAutospacing="0" w:line="240" w:lineRule="auto"/>
        <w:ind w:firstLine="0"/>
        <w:rPr>
          <w:b/>
          <w:bCs/>
          <w:i/>
          <w:iCs/>
          <w:lang w:val="en-US" w:eastAsia="zh-CN"/>
        </w:rPr>
      </w:pPr>
      <w:r w:rsidRPr="00B179E3">
        <w:rPr>
          <w:b/>
          <w:bCs/>
          <w:i/>
          <w:iCs/>
          <w:lang w:val="en-US" w:eastAsia="zh-CN"/>
        </w:rPr>
        <w:t xml:space="preserve">Proposal </w:t>
      </w:r>
      <w:r w:rsidR="003B6D36">
        <w:rPr>
          <w:b/>
          <w:bCs/>
          <w:i/>
          <w:iCs/>
          <w:lang w:val="en-US" w:eastAsia="zh-CN"/>
        </w:rPr>
        <w:t>8</w:t>
      </w:r>
      <w:r w:rsidRPr="00B179E3">
        <w:rPr>
          <w:b/>
          <w:bCs/>
          <w:i/>
          <w:iCs/>
          <w:lang w:val="en-US" w:eastAsia="zh-CN"/>
        </w:rPr>
        <w:t xml:space="preserve">: </w:t>
      </w:r>
      <w:r w:rsidR="007F53C0" w:rsidRPr="007F53C0">
        <w:rPr>
          <w:b/>
          <w:bCs/>
          <w:i/>
          <w:iCs/>
          <w:lang w:val="en-US" w:eastAsia="zh-CN"/>
        </w:rPr>
        <w:t xml:space="preserve">For aperiodic SRS, </w:t>
      </w:r>
      <w:r w:rsidR="007F53C0" w:rsidRPr="007F53C0">
        <w:rPr>
          <w:rFonts w:eastAsia="Malgun Gothic"/>
          <w:b/>
          <w:bCs/>
          <w:i/>
          <w:iCs/>
        </w:rPr>
        <w:t>the SRS transmission occasion for determining the reference UE antenna port corresponds to the latest SRS transmission occasion before the occasions of the N</w:t>
      </w:r>
      <w:r w:rsidR="007F53C0" w:rsidRPr="007F53C0">
        <w:rPr>
          <w:rFonts w:eastAsia="Malgun Gothic"/>
          <w:b/>
          <w:bCs/>
          <w:i/>
          <w:iCs/>
          <w:vertAlign w:val="subscript"/>
        </w:rPr>
        <w:t>TRP</w:t>
      </w:r>
      <w:r w:rsidR="007F53C0" w:rsidRPr="007F53C0">
        <w:rPr>
          <w:rFonts w:eastAsia="Malgun Gothic"/>
          <w:b/>
          <w:bCs/>
          <w:i/>
          <w:iCs/>
        </w:rPr>
        <w:t xml:space="preserve"> CSI-RS resources used for measuring ‘cjtc-P’ report.</w:t>
      </w:r>
    </w:p>
    <w:p w:rsidR="000E56AD" w:rsidRDefault="00B179E3" w:rsidP="00475974">
      <w:pPr>
        <w:pStyle w:val="0Maintext"/>
        <w:spacing w:after="120" w:afterAutospacing="0" w:line="240" w:lineRule="auto"/>
        <w:ind w:firstLine="0"/>
        <w:rPr>
          <w:lang w:val="en-US" w:eastAsia="zh-CN"/>
        </w:rPr>
      </w:pPr>
      <w:r>
        <w:rPr>
          <w:lang w:val="en-US" w:eastAsia="zh-CN"/>
        </w:rPr>
        <w:t xml:space="preserve">A second issue is </w:t>
      </w:r>
      <w:r w:rsidR="000E56AD">
        <w:rPr>
          <w:lang w:val="en-US" w:eastAsia="zh-CN"/>
        </w:rPr>
        <w:t>that when the NW configures multiple SRS resource sets, how to identify the associated SRS resource and associated SRS port. There can be the following possible cases:</w:t>
      </w:r>
    </w:p>
    <w:p w:rsidR="000E56AD" w:rsidRDefault="000E56AD" w:rsidP="000E56AD">
      <w:pPr>
        <w:pStyle w:val="0Maintext"/>
        <w:numPr>
          <w:ilvl w:val="0"/>
          <w:numId w:val="1047"/>
        </w:numPr>
        <w:spacing w:after="120" w:afterAutospacing="0" w:line="240" w:lineRule="auto"/>
        <w:rPr>
          <w:lang w:val="en-US" w:eastAsia="zh-CN"/>
        </w:rPr>
      </w:pPr>
      <w:r>
        <w:rPr>
          <w:lang w:val="en-US" w:eastAsia="zh-CN"/>
        </w:rPr>
        <w:t>Case 1: NW configures one periodic SRS resource set and one aperiodic SRS resource set</w:t>
      </w:r>
    </w:p>
    <w:p w:rsidR="000E56AD" w:rsidRDefault="000E56AD" w:rsidP="000E56AD">
      <w:pPr>
        <w:pStyle w:val="0Maintext"/>
        <w:numPr>
          <w:ilvl w:val="0"/>
          <w:numId w:val="1047"/>
        </w:numPr>
        <w:spacing w:after="120" w:afterAutospacing="0" w:line="240" w:lineRule="auto"/>
        <w:rPr>
          <w:lang w:val="en-US" w:eastAsia="zh-CN"/>
        </w:rPr>
      </w:pPr>
      <w:r>
        <w:rPr>
          <w:lang w:val="en-US" w:eastAsia="zh-CN"/>
        </w:rPr>
        <w:t>Case 2: NW configures two semi-persistent SRS resource sets and activates one of them</w:t>
      </w:r>
    </w:p>
    <w:p w:rsidR="000E56AD" w:rsidRPr="00396F46" w:rsidRDefault="000E56AD" w:rsidP="00396F46">
      <w:pPr>
        <w:pStyle w:val="0Maintext"/>
        <w:numPr>
          <w:ilvl w:val="0"/>
          <w:numId w:val="1047"/>
        </w:numPr>
        <w:spacing w:after="120" w:afterAutospacing="0" w:line="240" w:lineRule="auto"/>
        <w:rPr>
          <w:lang w:val="en-US" w:eastAsia="zh-CN"/>
        </w:rPr>
      </w:pPr>
      <w:r>
        <w:rPr>
          <w:lang w:val="en-US" w:eastAsia="zh-CN"/>
        </w:rPr>
        <w:t>Case 3: NW configures two aperiodic SRS resource sets</w:t>
      </w:r>
    </w:p>
    <w:p w:rsidR="000E56AD" w:rsidRDefault="000E56AD" w:rsidP="00475974">
      <w:pPr>
        <w:pStyle w:val="0Maintext"/>
        <w:spacing w:after="120" w:afterAutospacing="0" w:line="240" w:lineRule="auto"/>
        <w:ind w:firstLine="0"/>
        <w:rPr>
          <w:lang w:val="en-US" w:eastAsia="zh-CN"/>
        </w:rPr>
      </w:pPr>
      <w:r>
        <w:rPr>
          <w:lang w:val="en-US" w:eastAsia="zh-CN"/>
        </w:rPr>
        <w:t xml:space="preserve">For case 1 and case 2 above, a simple way is to select the </w:t>
      </w:r>
      <w:r w:rsidR="00396F46">
        <w:rPr>
          <w:lang w:val="en-US" w:eastAsia="zh-CN"/>
        </w:rPr>
        <w:t xml:space="preserve">associated </w:t>
      </w:r>
      <w:r>
        <w:rPr>
          <w:lang w:val="en-US" w:eastAsia="zh-CN"/>
        </w:rPr>
        <w:t xml:space="preserve">SRS resource set based on the time-domain behavior and activation status. For case 3, </w:t>
      </w:r>
      <w:r w:rsidR="00396F46">
        <w:rPr>
          <w:lang w:val="en-US" w:eastAsia="zh-CN"/>
        </w:rPr>
        <w:t>a simple way is to select the associated SRS resource set based on the SRS resource set ID.</w:t>
      </w:r>
    </w:p>
    <w:p w:rsidR="00396F46" w:rsidRPr="00396F46" w:rsidRDefault="00396F46" w:rsidP="00475974">
      <w:pPr>
        <w:pStyle w:val="0Maintext"/>
        <w:spacing w:after="120" w:afterAutospacing="0" w:line="240" w:lineRule="auto"/>
        <w:ind w:firstLine="0"/>
        <w:rPr>
          <w:b/>
          <w:bCs/>
          <w:i/>
          <w:iCs/>
          <w:lang w:val="en-US" w:eastAsia="zh-CN"/>
        </w:rPr>
      </w:pPr>
      <w:r w:rsidRPr="00396F46">
        <w:rPr>
          <w:b/>
          <w:bCs/>
          <w:i/>
          <w:iCs/>
          <w:lang w:val="en-US" w:eastAsia="zh-CN"/>
        </w:rPr>
        <w:t xml:space="preserve">Proposal </w:t>
      </w:r>
      <w:r w:rsidR="003B6D36">
        <w:rPr>
          <w:b/>
          <w:bCs/>
          <w:i/>
          <w:iCs/>
          <w:lang w:val="en-US" w:eastAsia="zh-CN"/>
        </w:rPr>
        <w:t>9</w:t>
      </w:r>
      <w:r w:rsidRPr="00396F46">
        <w:rPr>
          <w:b/>
          <w:bCs/>
          <w:i/>
          <w:iCs/>
          <w:lang w:val="en-US" w:eastAsia="zh-CN"/>
        </w:rPr>
        <w:t xml:space="preserve">: Support the UE to select the associated SRS resource </w:t>
      </w:r>
      <w:r w:rsidR="00577F1E">
        <w:rPr>
          <w:b/>
          <w:bCs/>
          <w:i/>
          <w:iCs/>
          <w:lang w:val="en-US" w:eastAsia="zh-CN"/>
        </w:rPr>
        <w:t xml:space="preserve">set </w:t>
      </w:r>
      <w:r w:rsidRPr="00396F46">
        <w:rPr>
          <w:b/>
          <w:bCs/>
          <w:i/>
          <w:iCs/>
          <w:lang w:val="en-US" w:eastAsia="zh-CN"/>
        </w:rPr>
        <w:t>for PO report as follows</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one periodic SRS resource set and one aperiodic SRS resource set are configured, UE selects the associated SRS resource based on the periodic SRS resource set</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two semi-persistent SRS resource sets are configured, UE selects the associated SRS resource based on the activated SRS resource set</w:t>
      </w:r>
    </w:p>
    <w:p w:rsidR="00396F46" w:rsidRPr="00396F46" w:rsidRDefault="00396F46" w:rsidP="00396F46">
      <w:pPr>
        <w:pStyle w:val="0Maintext"/>
        <w:numPr>
          <w:ilvl w:val="0"/>
          <w:numId w:val="1048"/>
        </w:numPr>
        <w:spacing w:after="120" w:afterAutospacing="0" w:line="240" w:lineRule="auto"/>
        <w:rPr>
          <w:b/>
          <w:bCs/>
          <w:i/>
          <w:iCs/>
          <w:lang w:val="en-US" w:eastAsia="zh-CN"/>
        </w:rPr>
      </w:pPr>
      <w:r w:rsidRPr="00396F46">
        <w:rPr>
          <w:b/>
          <w:bCs/>
          <w:i/>
          <w:iCs/>
          <w:lang w:val="en-US" w:eastAsia="zh-CN"/>
        </w:rPr>
        <w:t>When two aperiodic SRS resource sets are configured, UE selects the associated SRS resource based on the SRS resource set with lower set ID</w:t>
      </w:r>
    </w:p>
    <w:p w:rsidR="005E2CF1" w:rsidRDefault="005E2CF1" w:rsidP="00475974">
      <w:pPr>
        <w:pStyle w:val="0Maintext"/>
        <w:spacing w:after="120" w:afterAutospacing="0" w:line="240" w:lineRule="auto"/>
        <w:ind w:firstLine="0"/>
        <w:rPr>
          <w:lang w:val="en-US" w:eastAsia="zh-CN"/>
        </w:rPr>
      </w:pPr>
    </w:p>
    <w:p w:rsidR="000205DD" w:rsidRDefault="000205DD" w:rsidP="000205DD">
      <w:pPr>
        <w:pStyle w:val="Heading2"/>
      </w:pPr>
      <w:r>
        <w:t>Delay offset impact on PO measurement</w:t>
      </w:r>
    </w:p>
    <w:p w:rsidR="000205DD" w:rsidRDefault="000205DD" w:rsidP="00475974">
      <w:pPr>
        <w:pStyle w:val="0Maintext"/>
        <w:spacing w:after="120" w:afterAutospacing="0" w:line="240" w:lineRule="auto"/>
        <w:ind w:firstLine="0"/>
        <w:rPr>
          <w:lang w:val="en-US" w:eastAsia="zh-CN"/>
        </w:rPr>
      </w:pPr>
      <w:r>
        <w:rPr>
          <w:lang w:val="en-US" w:eastAsia="zh-CN"/>
        </w:rPr>
        <w:t xml:space="preserve">The delay offset (DO) could also cause phase shift in frequency domain, where the phase shift could be different for different subcarriers. Then one possible way is that the NW can perform the DO pre-compensation to transmit the CSI-RS resources for PO measurement. In this case, the UE only needs to perform the PO measurement. Another possible way is that the NW does not perform the DO pre-compensation for the CSI-RS resources for PO measurement. Instead, the UE performs the DO measurement and compensation first. Then it calculates the PO based on the CSI-RS resources for PO measurement after DO compensation. Therefore, with regard to different UE behaviors and UE complexity, the NW can inform the UE whether it transmits the CSI-RS resources for PO measurement with DO pre-compensation. </w:t>
      </w:r>
    </w:p>
    <w:p w:rsidR="000205DD" w:rsidRDefault="000205DD" w:rsidP="00475974">
      <w:pPr>
        <w:pStyle w:val="0Maintext"/>
        <w:spacing w:after="120" w:afterAutospacing="0" w:line="240" w:lineRule="auto"/>
        <w:ind w:firstLine="0"/>
        <w:rPr>
          <w:b/>
          <w:bCs/>
          <w:i/>
          <w:iCs/>
          <w:lang w:val="en-US" w:eastAsia="zh-CN"/>
        </w:rPr>
      </w:pPr>
      <w:r w:rsidRPr="000205DD">
        <w:rPr>
          <w:b/>
          <w:bCs/>
          <w:i/>
          <w:iCs/>
          <w:lang w:val="en-US" w:eastAsia="zh-CN"/>
        </w:rPr>
        <w:t xml:space="preserve">Proposal </w:t>
      </w:r>
      <w:r w:rsidR="003B6D36">
        <w:rPr>
          <w:b/>
          <w:bCs/>
          <w:i/>
          <w:iCs/>
          <w:lang w:val="en-US" w:eastAsia="zh-CN"/>
        </w:rPr>
        <w:t>10</w:t>
      </w:r>
      <w:r w:rsidRPr="000205DD">
        <w:rPr>
          <w:b/>
          <w:bCs/>
          <w:i/>
          <w:iCs/>
          <w:lang w:val="en-US" w:eastAsia="zh-CN"/>
        </w:rPr>
        <w:t>: Support the NW to inform UE whether it transmits the CSI-RS resources for PO measurement with DO pre-compensation.</w:t>
      </w:r>
    </w:p>
    <w:p w:rsidR="00396F46" w:rsidRDefault="00396F46" w:rsidP="00475974">
      <w:pPr>
        <w:pStyle w:val="0Maintext"/>
        <w:spacing w:after="120" w:afterAutospacing="0" w:line="240" w:lineRule="auto"/>
        <w:ind w:firstLine="0"/>
        <w:rPr>
          <w:b/>
          <w:bCs/>
          <w:i/>
          <w:iCs/>
          <w:lang w:val="en-US" w:eastAsia="zh-CN"/>
        </w:rPr>
      </w:pPr>
    </w:p>
    <w:p w:rsidR="001B1771" w:rsidRPr="001B1771" w:rsidRDefault="001B1771" w:rsidP="001B1771">
      <w:pPr>
        <w:pStyle w:val="Heading2"/>
      </w:pPr>
      <w:r w:rsidRPr="001B1771">
        <w:lastRenderedPageBreak/>
        <w:t>Linked DO and CJT-CSI report</w:t>
      </w:r>
    </w:p>
    <w:p w:rsidR="001B1771" w:rsidRDefault="001B1771" w:rsidP="00475974">
      <w:pPr>
        <w:pStyle w:val="0Maintext"/>
        <w:spacing w:after="120" w:afterAutospacing="0" w:line="240" w:lineRule="auto"/>
        <w:ind w:firstLine="0"/>
        <w:rPr>
          <w:lang w:val="en-US" w:eastAsia="zh-CN"/>
        </w:rPr>
      </w:pPr>
      <w:r>
        <w:rPr>
          <w:lang w:val="en-US" w:eastAsia="zh-CN"/>
        </w:rPr>
        <w:t>In RAN1 #118</w:t>
      </w:r>
      <w:r w:rsidR="004C5AB5">
        <w:rPr>
          <w:lang w:val="en-US" w:eastAsia="zh-CN"/>
        </w:rPr>
        <w:t>b</w:t>
      </w:r>
      <w:r>
        <w:rPr>
          <w:lang w:val="en-US" w:eastAsia="zh-CN"/>
        </w:rPr>
        <w:t xml:space="preserve"> meeting, the following on linked DO and CJT-CSI report have been agreed.</w:t>
      </w:r>
    </w:p>
    <w:tbl>
      <w:tblPr>
        <w:tblStyle w:val="TableGrid"/>
        <w:tblW w:w="0" w:type="auto"/>
        <w:tblLook w:val="04A0" w:firstRow="1" w:lastRow="0" w:firstColumn="1" w:lastColumn="0" w:noHBand="0" w:noVBand="1"/>
      </w:tblPr>
      <w:tblGrid>
        <w:gridCol w:w="9010"/>
      </w:tblGrid>
      <w:tr w:rsidR="001B1771" w:rsidTr="001B1771">
        <w:tc>
          <w:tcPr>
            <w:tcW w:w="9010" w:type="dxa"/>
          </w:tcPr>
          <w:p w:rsidR="004C5AB5" w:rsidRPr="000F5946" w:rsidRDefault="004C5AB5" w:rsidP="004C5AB5">
            <w:pPr>
              <w:snapToGrid w:val="0"/>
              <w:jc w:val="both"/>
              <w:rPr>
                <w:rFonts w:cs="Times"/>
                <w:b/>
                <w:sz w:val="20"/>
                <w:szCs w:val="20"/>
                <w:lang w:eastAsia="ko-KR"/>
              </w:rPr>
            </w:pPr>
            <w:r w:rsidRPr="000F5946">
              <w:rPr>
                <w:rFonts w:cs="Times" w:hint="eastAsia"/>
                <w:b/>
                <w:sz w:val="20"/>
                <w:szCs w:val="20"/>
                <w:highlight w:val="green"/>
                <w:lang w:eastAsia="ko-KR"/>
              </w:rPr>
              <w:t>Agreement</w:t>
            </w:r>
          </w:p>
          <w:p w:rsidR="004C5AB5" w:rsidRPr="000F5946" w:rsidRDefault="004C5AB5" w:rsidP="004C5AB5">
            <w:pPr>
              <w:jc w:val="both"/>
              <w:rPr>
                <w:rFonts w:cs="Times"/>
                <w:sz w:val="20"/>
                <w:szCs w:val="20"/>
              </w:rPr>
            </w:pPr>
            <w:r w:rsidRPr="000F5946">
              <w:rPr>
                <w:rFonts w:eastAsia="Calibri"/>
                <w:sz w:val="20"/>
                <w:szCs w:val="20"/>
              </w:rPr>
              <w:t xml:space="preserve">For the Rel-19 aperiodic standalone CJT calibration (CJTC) reporting, </w:t>
            </w:r>
            <w:r w:rsidRPr="000F5946">
              <w:rPr>
                <w:rFonts w:cs="Times"/>
                <w:sz w:val="20"/>
                <w:szCs w:val="20"/>
              </w:rPr>
              <w:t xml:space="preserve">when linking CJTC Dd and Rel-18 eType-II CJT CSI reports is configured, confirm the following working assumptions as agreement with the following </w:t>
            </w:r>
            <w:r w:rsidRPr="000F5946">
              <w:rPr>
                <w:rFonts w:cs="Times"/>
                <w:color w:val="FF0000"/>
                <w:sz w:val="20"/>
                <w:szCs w:val="20"/>
              </w:rPr>
              <w:t>refinement</w:t>
            </w:r>
            <w:r w:rsidRPr="000F5946">
              <w:rPr>
                <w:rFonts w:cs="Times"/>
                <w:sz w:val="20"/>
                <w:szCs w:val="20"/>
              </w:rPr>
              <w:t>:</w:t>
            </w:r>
          </w:p>
          <w:p w:rsidR="004C5AB5" w:rsidRPr="000F5946" w:rsidRDefault="004C5AB5" w:rsidP="004C5AB5">
            <w:pPr>
              <w:pStyle w:val="ListParagraph"/>
              <w:numPr>
                <w:ilvl w:val="0"/>
                <w:numId w:val="983"/>
              </w:numPr>
              <w:ind w:leftChars="0" w:left="400" w:hanging="400"/>
              <w:contextualSpacing/>
              <w:jc w:val="both"/>
              <w:rPr>
                <w:rFonts w:eastAsia="DengXian"/>
                <w:bCs/>
                <w:szCs w:val="20"/>
                <w:lang w:eastAsia="zh-CN"/>
              </w:rPr>
            </w:pPr>
            <w:r w:rsidRPr="000F5946">
              <w:rPr>
                <w:bCs/>
                <w:szCs w:val="20"/>
              </w:rPr>
              <w:t>When separately triggered, the delay offset value to be compensated is the latest reported delay offset (DO) whose reporting instance’s last symbol is before the first symbol of DCI triggering of the CJT CSI reporting</w:t>
            </w:r>
          </w:p>
          <w:p w:rsidR="004C5AB5" w:rsidRPr="000F5946" w:rsidRDefault="004C5AB5" w:rsidP="004C5AB5">
            <w:pPr>
              <w:pStyle w:val="ListParagraph"/>
              <w:numPr>
                <w:ilvl w:val="0"/>
                <w:numId w:val="983"/>
              </w:numPr>
              <w:ind w:leftChars="0" w:left="400" w:hanging="400"/>
              <w:contextualSpacing/>
              <w:jc w:val="both"/>
              <w:rPr>
                <w:rFonts w:eastAsia="DengXian"/>
                <w:bCs/>
                <w:szCs w:val="20"/>
                <w:lang w:eastAsia="zh-CN"/>
              </w:rPr>
            </w:pPr>
            <w:r w:rsidRPr="000F5946">
              <w:rPr>
                <w:rFonts w:eastAsia="DengXian"/>
                <w:bCs/>
                <w:szCs w:val="20"/>
                <w:lang w:eastAsia="zh-CN"/>
              </w:rPr>
              <w:t xml:space="preserve">When </w:t>
            </w:r>
            <w:r w:rsidRPr="000F5946">
              <w:rPr>
                <w:bCs/>
                <w:szCs w:val="20"/>
              </w:rPr>
              <w:t>jointly triggered, the delay offset value to be compensated is the reported delay offset (DO) in the same reporting instance</w:t>
            </w:r>
          </w:p>
          <w:p w:rsidR="004C5AB5" w:rsidRPr="000F5946" w:rsidRDefault="004C5AB5" w:rsidP="004C5AB5">
            <w:pPr>
              <w:jc w:val="both"/>
              <w:rPr>
                <w:rFonts w:eastAsia="DengXian"/>
                <w:bCs/>
                <w:color w:val="FF0000"/>
                <w:sz w:val="20"/>
                <w:szCs w:val="20"/>
              </w:rPr>
            </w:pPr>
            <w:r w:rsidRPr="004C5AB5">
              <w:rPr>
                <w:rFonts w:eastAsia="DengXian"/>
                <w:bCs/>
                <w:color w:val="FF0000"/>
                <w:sz w:val="20"/>
                <w:szCs w:val="20"/>
                <w:highlight w:val="yellow"/>
              </w:rPr>
              <w:t>FFS: Whether an additional UE procedure is needed when the reported DO value is ‘out of range’</w:t>
            </w:r>
          </w:p>
          <w:p w:rsidR="004C5AB5" w:rsidRPr="000F5946" w:rsidRDefault="004C5AB5" w:rsidP="004C5AB5">
            <w:pPr>
              <w:jc w:val="both"/>
              <w:rPr>
                <w:bCs/>
                <w:color w:val="FF0000"/>
                <w:sz w:val="20"/>
                <w:szCs w:val="20"/>
                <w:lang w:eastAsia="ko-KR"/>
              </w:rPr>
            </w:pPr>
            <w:r w:rsidRPr="000F5946">
              <w:rPr>
                <w:rFonts w:eastAsia="DengXian"/>
                <w:bCs/>
                <w:color w:val="FF0000"/>
                <w:sz w:val="20"/>
                <w:szCs w:val="20"/>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rsidR="001B1771" w:rsidRDefault="001B1771" w:rsidP="00475974">
            <w:pPr>
              <w:pStyle w:val="0Maintext"/>
              <w:spacing w:after="120" w:afterAutospacing="0" w:line="240" w:lineRule="auto"/>
              <w:ind w:firstLine="0"/>
              <w:rPr>
                <w:lang w:val="en-US" w:eastAsia="zh-CN"/>
              </w:rPr>
            </w:pPr>
          </w:p>
          <w:p w:rsidR="004C5AB5" w:rsidRPr="000F5946" w:rsidRDefault="004C5AB5" w:rsidP="004C5AB5">
            <w:pPr>
              <w:snapToGrid w:val="0"/>
              <w:jc w:val="both"/>
              <w:rPr>
                <w:rFonts w:cs="Times"/>
                <w:b/>
                <w:sz w:val="20"/>
                <w:szCs w:val="20"/>
                <w:lang w:eastAsia="ko-KR"/>
              </w:rPr>
            </w:pPr>
            <w:r w:rsidRPr="000F5946">
              <w:rPr>
                <w:rFonts w:cs="Times" w:hint="eastAsia"/>
                <w:b/>
                <w:sz w:val="20"/>
                <w:szCs w:val="20"/>
                <w:highlight w:val="green"/>
                <w:lang w:eastAsia="ko-KR"/>
              </w:rPr>
              <w:t>Agreement</w:t>
            </w:r>
          </w:p>
          <w:p w:rsidR="004C5AB5" w:rsidRPr="000F5946" w:rsidRDefault="004C5AB5" w:rsidP="004C5AB5">
            <w:pPr>
              <w:rPr>
                <w:rFonts w:eastAsia="DengXian"/>
                <w:bCs/>
                <w:sz w:val="20"/>
                <w:szCs w:val="20"/>
              </w:rPr>
            </w:pPr>
            <w:r w:rsidRPr="000F5946">
              <w:rPr>
                <w:rFonts w:eastAsia="DengXian"/>
                <w:bCs/>
                <w:sz w:val="20"/>
                <w:szCs w:val="20"/>
              </w:rPr>
              <w:t xml:space="preserve">For the Rel-19 aperiodic standalone CJT calibration (CJTC) reporting, </w:t>
            </w:r>
            <w:r w:rsidRPr="000F5946">
              <w:rPr>
                <w:sz w:val="20"/>
                <w:szCs w:val="20"/>
              </w:rPr>
              <w:t xml:space="preserve">when linking CJTC Dd and Rel-18 eType-II CJT CSI reports is configured, </w:t>
            </w:r>
            <w:r w:rsidRPr="000F5946">
              <w:rPr>
                <w:rFonts w:eastAsia="DengXian"/>
                <w:bCs/>
                <w:sz w:val="20"/>
                <w:szCs w:val="20"/>
              </w:rPr>
              <w:t>s</w:t>
            </w:r>
            <w:r w:rsidRPr="000F5946">
              <w:rPr>
                <w:rFonts w:eastAsia="DengXian" w:hint="eastAsia"/>
                <w:bCs/>
                <w:sz w:val="20"/>
                <w:szCs w:val="20"/>
              </w:rPr>
              <w:t xml:space="preserve">upport </w:t>
            </w:r>
            <w:r w:rsidRPr="000F5946">
              <w:rPr>
                <w:rFonts w:eastAsia="DengXian"/>
                <w:bCs/>
                <w:sz w:val="20"/>
                <w:szCs w:val="20"/>
              </w:rPr>
              <w:t>linking</w:t>
            </w:r>
            <w:r w:rsidRPr="000F5946">
              <w:rPr>
                <w:rFonts w:eastAsia="DengXian" w:hint="eastAsia"/>
                <w:bCs/>
                <w:sz w:val="20"/>
                <w:szCs w:val="20"/>
              </w:rPr>
              <w:t xml:space="preserve"> the CMRs in the two </w:t>
            </w:r>
            <w:r w:rsidRPr="000F5946">
              <w:rPr>
                <w:rFonts w:eastAsia="DengXian"/>
                <w:bCs/>
                <w:sz w:val="20"/>
                <w:szCs w:val="20"/>
              </w:rPr>
              <w:t>CSI R</w:t>
            </w:r>
            <w:r w:rsidRPr="000F5946">
              <w:rPr>
                <w:rFonts w:eastAsia="DengXian" w:hint="eastAsia"/>
                <w:bCs/>
                <w:sz w:val="20"/>
                <w:szCs w:val="20"/>
              </w:rPr>
              <w:t xml:space="preserve">eport </w:t>
            </w:r>
            <w:r w:rsidRPr="000F5946">
              <w:rPr>
                <w:rFonts w:eastAsia="DengXian"/>
                <w:bCs/>
                <w:sz w:val="20"/>
                <w:szCs w:val="20"/>
              </w:rPr>
              <w:t>S</w:t>
            </w:r>
            <w:r w:rsidRPr="000F5946">
              <w:rPr>
                <w:rFonts w:eastAsia="DengXian" w:hint="eastAsia"/>
                <w:bCs/>
                <w:sz w:val="20"/>
                <w:szCs w:val="20"/>
              </w:rPr>
              <w:t>ettings so that UE knows which CMRs in the two report settings correspond to the same TRP.</w:t>
            </w:r>
          </w:p>
          <w:p w:rsidR="004C5AB5" w:rsidRPr="000F5946" w:rsidRDefault="004C5AB5" w:rsidP="004C5AB5">
            <w:pPr>
              <w:pStyle w:val="ListParagraph"/>
              <w:numPr>
                <w:ilvl w:val="0"/>
                <w:numId w:val="1060"/>
              </w:numPr>
              <w:ind w:leftChars="0" w:left="400" w:hanging="400"/>
              <w:rPr>
                <w:rFonts w:eastAsia="DengXian"/>
                <w:bCs/>
                <w:szCs w:val="20"/>
                <w:lang w:eastAsia="zh-CN"/>
              </w:rPr>
            </w:pPr>
            <w:r w:rsidRPr="000F5946">
              <w:rPr>
                <w:rFonts w:eastAsia="DengXian"/>
                <w:bCs/>
                <w:szCs w:val="20"/>
                <w:lang w:eastAsia="zh-CN"/>
              </w:rPr>
              <w:t>Based on a fixed correspondence between the set of TRS resource set IDs in sequential order and the set of CSI-RS resource IDs in sequential order of configuration in their respective Resource Setting</w:t>
            </w:r>
          </w:p>
          <w:p w:rsidR="004C5AB5" w:rsidRPr="000F5946" w:rsidRDefault="004C5AB5" w:rsidP="004C5AB5">
            <w:pPr>
              <w:rPr>
                <w:rFonts w:eastAsia="DengXian"/>
                <w:bCs/>
                <w:sz w:val="20"/>
                <w:szCs w:val="20"/>
              </w:rPr>
            </w:pPr>
            <w:r w:rsidRPr="004C5AB5">
              <w:rPr>
                <w:rFonts w:eastAsia="DengXian"/>
                <w:bCs/>
                <w:sz w:val="20"/>
                <w:szCs w:val="20"/>
                <w:highlight w:val="yellow"/>
              </w:rPr>
              <w:t>FFS: linking, when the number of resources configured for CJT CSI is &lt; number of resource sets configured for CJT Dd, in case of separate triggers</w:t>
            </w:r>
          </w:p>
          <w:p w:rsidR="004C5AB5" w:rsidRDefault="004C5AB5" w:rsidP="00475974">
            <w:pPr>
              <w:pStyle w:val="0Maintext"/>
              <w:spacing w:after="120" w:afterAutospacing="0" w:line="240" w:lineRule="auto"/>
              <w:ind w:firstLine="0"/>
              <w:rPr>
                <w:lang w:val="en-US" w:eastAsia="zh-CN"/>
              </w:rPr>
            </w:pPr>
          </w:p>
          <w:p w:rsidR="004C5AB5" w:rsidRPr="000F5946" w:rsidRDefault="004C5AB5" w:rsidP="004C5AB5">
            <w:pPr>
              <w:snapToGrid w:val="0"/>
              <w:jc w:val="both"/>
              <w:rPr>
                <w:rFonts w:cs="Times"/>
                <w:b/>
                <w:sz w:val="20"/>
                <w:szCs w:val="20"/>
                <w:lang w:eastAsia="ko-KR"/>
              </w:rPr>
            </w:pPr>
            <w:r w:rsidRPr="000F5946">
              <w:rPr>
                <w:rFonts w:cs="Times" w:hint="eastAsia"/>
                <w:b/>
                <w:sz w:val="20"/>
                <w:szCs w:val="20"/>
                <w:highlight w:val="green"/>
                <w:lang w:eastAsia="ko-KR"/>
              </w:rPr>
              <w:t>Agreement</w:t>
            </w:r>
          </w:p>
          <w:p w:rsidR="004C5AB5" w:rsidRPr="000F5946" w:rsidRDefault="004C5AB5" w:rsidP="004C5AB5">
            <w:pPr>
              <w:snapToGrid w:val="0"/>
              <w:rPr>
                <w:sz w:val="20"/>
                <w:szCs w:val="20"/>
              </w:rPr>
            </w:pPr>
            <w:r w:rsidRPr="000F5946">
              <w:rPr>
                <w:rFonts w:eastAsia="Calibri"/>
                <w:sz w:val="20"/>
                <w:szCs w:val="20"/>
              </w:rPr>
              <w:t>For the Rel-19 aperiodic standalone CJT calibration (CJTC) reporting,</w:t>
            </w:r>
            <w:r w:rsidRPr="000F5946">
              <w:rPr>
                <w:sz w:val="20"/>
                <w:szCs w:val="20"/>
              </w:rPr>
              <w:t xml:space="preserve"> when linking CJTC Dd and Rel-18 eType-II CJT CSI reports is configured with a joint trigger:</w:t>
            </w:r>
          </w:p>
          <w:p w:rsidR="004C5AB5" w:rsidRPr="000F5946" w:rsidRDefault="004C5AB5" w:rsidP="004C5AB5">
            <w:pPr>
              <w:pStyle w:val="ListParagraph"/>
              <w:numPr>
                <w:ilvl w:val="0"/>
                <w:numId w:val="1060"/>
              </w:numPr>
              <w:snapToGrid w:val="0"/>
              <w:ind w:leftChars="0" w:left="400" w:hanging="400"/>
              <w:rPr>
                <w:szCs w:val="20"/>
              </w:rPr>
            </w:pPr>
            <w:r w:rsidRPr="000F5946">
              <w:rPr>
                <w:rFonts w:eastAsia="DengXian"/>
                <w:bCs/>
                <w:szCs w:val="20"/>
                <w:lang w:eastAsia="zh-CN"/>
              </w:rPr>
              <w:t>Reuse the CPU occupation and active resource counting for the Rel-18 eType-II CJT</w:t>
            </w:r>
          </w:p>
          <w:p w:rsidR="004C5AB5" w:rsidRPr="004C5AB5" w:rsidRDefault="004C5AB5" w:rsidP="004C5AB5">
            <w:pPr>
              <w:pStyle w:val="ListParagraph"/>
              <w:numPr>
                <w:ilvl w:val="0"/>
                <w:numId w:val="1060"/>
              </w:numPr>
              <w:snapToGrid w:val="0"/>
              <w:ind w:leftChars="0" w:left="400" w:hanging="400"/>
              <w:rPr>
                <w:szCs w:val="20"/>
                <w:highlight w:val="yellow"/>
              </w:rPr>
            </w:pPr>
            <w:r w:rsidRPr="004C5AB5">
              <w:rPr>
                <w:szCs w:val="20"/>
                <w:highlight w:val="yellow"/>
              </w:rPr>
              <w:t xml:space="preserve">FFS (RAN1#119): Re timeline, decide whether to reuse or further relax the timeline </w:t>
            </w:r>
            <w:r w:rsidRPr="004C5AB5">
              <w:rPr>
                <w:rFonts w:eastAsia="DengXian"/>
                <w:bCs/>
                <w:szCs w:val="20"/>
                <w:highlight w:val="yellow"/>
                <w:lang w:eastAsia="zh-CN"/>
              </w:rPr>
              <w:t xml:space="preserve">for the Rel-18 eType-II CJT </w:t>
            </w:r>
          </w:p>
          <w:p w:rsidR="004C5AB5" w:rsidRPr="004C5AB5" w:rsidRDefault="004C5AB5" w:rsidP="00475974">
            <w:pPr>
              <w:pStyle w:val="0Maintext"/>
              <w:spacing w:after="120" w:afterAutospacing="0" w:line="240" w:lineRule="auto"/>
              <w:ind w:firstLine="0"/>
              <w:rPr>
                <w:lang w:eastAsia="zh-CN"/>
              </w:rPr>
            </w:pPr>
          </w:p>
        </w:tc>
      </w:tr>
    </w:tbl>
    <w:p w:rsidR="001B1771" w:rsidRDefault="001B1771" w:rsidP="00475974">
      <w:pPr>
        <w:pStyle w:val="0Maintext"/>
        <w:spacing w:after="120" w:afterAutospacing="0" w:line="240" w:lineRule="auto"/>
        <w:ind w:firstLine="0"/>
        <w:rPr>
          <w:lang w:val="en-US" w:eastAsia="zh-CN"/>
        </w:rPr>
      </w:pPr>
    </w:p>
    <w:p w:rsidR="001B1771" w:rsidRDefault="001B1771" w:rsidP="00475974">
      <w:pPr>
        <w:pStyle w:val="0Maintext"/>
        <w:spacing w:after="120" w:afterAutospacing="0" w:line="240" w:lineRule="auto"/>
        <w:ind w:firstLine="0"/>
        <w:rPr>
          <w:lang w:val="en-US" w:eastAsia="zh-CN"/>
        </w:rPr>
      </w:pPr>
      <w:r>
        <w:rPr>
          <w:lang w:val="en-US" w:eastAsia="zh-CN"/>
        </w:rPr>
        <w:t>There are several open issues for the linked DO and CJT-CSI report.</w:t>
      </w:r>
    </w:p>
    <w:p w:rsidR="001B1771" w:rsidRDefault="004C5AB5" w:rsidP="00475974">
      <w:pPr>
        <w:pStyle w:val="0Maintext"/>
        <w:spacing w:after="120" w:afterAutospacing="0" w:line="240" w:lineRule="auto"/>
        <w:ind w:firstLine="0"/>
        <w:rPr>
          <w:lang w:val="en-US" w:eastAsia="zh-CN"/>
        </w:rPr>
      </w:pPr>
      <w:r>
        <w:rPr>
          <w:lang w:val="en-US" w:eastAsia="zh-CN"/>
        </w:rPr>
        <w:t>One open</w:t>
      </w:r>
      <w:r w:rsidR="001B1771">
        <w:rPr>
          <w:lang w:val="en-US" w:eastAsia="zh-CN"/>
        </w:rPr>
        <w:t xml:space="preserve"> issue is</w:t>
      </w:r>
      <w:r w:rsidR="00482585">
        <w:rPr>
          <w:lang w:val="en-US" w:eastAsia="zh-CN"/>
        </w:rPr>
        <w:t xml:space="preserve"> regarding the invalid DO report. If UE reports an invalid DO, i.e., UE cannot identify a valid DO report to be associated with a CJT-CSI report, it should calculate the CJT-CSI based on a default DO value, i.e., DO = 0.</w:t>
      </w:r>
    </w:p>
    <w:p w:rsidR="00482585" w:rsidRPr="00482585" w:rsidRDefault="00482585" w:rsidP="00475974">
      <w:pPr>
        <w:pStyle w:val="0Maintext"/>
        <w:spacing w:after="120" w:afterAutospacing="0" w:line="240" w:lineRule="auto"/>
        <w:ind w:firstLine="0"/>
        <w:rPr>
          <w:b/>
          <w:bCs/>
          <w:i/>
          <w:iCs/>
          <w:lang w:val="en-US" w:eastAsia="zh-CN"/>
        </w:rPr>
      </w:pPr>
      <w:r w:rsidRPr="00482585">
        <w:rPr>
          <w:b/>
          <w:bCs/>
          <w:i/>
          <w:iCs/>
          <w:lang w:val="en-US" w:eastAsia="zh-CN"/>
        </w:rPr>
        <w:t xml:space="preserve">Proposal </w:t>
      </w:r>
      <w:r w:rsidR="003B6D36">
        <w:rPr>
          <w:b/>
          <w:bCs/>
          <w:i/>
          <w:iCs/>
          <w:lang w:val="en-US" w:eastAsia="zh-CN"/>
        </w:rPr>
        <w:t>11</w:t>
      </w:r>
      <w:r w:rsidRPr="00482585">
        <w:rPr>
          <w:b/>
          <w:bCs/>
          <w:i/>
          <w:iCs/>
          <w:lang w:val="en-US" w:eastAsia="zh-CN"/>
        </w:rPr>
        <w:t xml:space="preserve">: If UE reports an invalid DO in the associated DO report, i.e., </w:t>
      </w:r>
      <w:r w:rsidR="004C5AB5">
        <w:rPr>
          <w:b/>
          <w:bCs/>
          <w:i/>
          <w:iCs/>
          <w:lang w:val="en-US" w:eastAsia="zh-CN"/>
        </w:rPr>
        <w:t>out-of-range</w:t>
      </w:r>
      <w:r w:rsidRPr="00482585">
        <w:rPr>
          <w:b/>
          <w:bCs/>
          <w:i/>
          <w:iCs/>
          <w:lang w:val="en-US" w:eastAsia="zh-CN"/>
        </w:rPr>
        <w:t>, it calculates the CJT-CSI based on a default DO value, i.e., DO = 0.</w:t>
      </w:r>
    </w:p>
    <w:p w:rsidR="004C5AB5" w:rsidRDefault="004C5AB5" w:rsidP="004C5AB5">
      <w:pPr>
        <w:pStyle w:val="0Maintext"/>
        <w:spacing w:after="120" w:afterAutospacing="0" w:line="240" w:lineRule="auto"/>
        <w:ind w:firstLine="0"/>
        <w:rPr>
          <w:lang w:val="en-US" w:eastAsia="zh-CN"/>
        </w:rPr>
      </w:pPr>
      <w:r>
        <w:rPr>
          <w:lang w:val="en-US" w:eastAsia="zh-CN"/>
        </w:rPr>
        <w:t>Another issue is the linkage between CMRs for the DO and CJT-CSI calculation. The number of CSI-RS resource sets for DO report and the number of CSI-RS resources for CJT-CSI report should be the same. If the number of TRS sets for DO report is greater than the number of CSI-RS resources for CJT-CSI report, more CPUs could be required for the DO report. Then current agreement to reuse the CPU occupation and active resource counting rule for Rel-18 CJT could lead to incorrect counting. If the number of TRS sets for DO report is smaller than the number of CSI-RS resources for CJT-CSI report, UE cannot identify the DO for some CSI calculation.</w:t>
      </w:r>
    </w:p>
    <w:p w:rsidR="004C5AB5" w:rsidRPr="004C5AB5" w:rsidRDefault="004C5AB5" w:rsidP="00475974">
      <w:pPr>
        <w:pStyle w:val="0Maintext"/>
        <w:spacing w:after="120" w:afterAutospacing="0" w:line="240" w:lineRule="auto"/>
        <w:ind w:firstLine="0"/>
        <w:rPr>
          <w:b/>
          <w:bCs/>
          <w:i/>
          <w:iCs/>
          <w:lang w:val="en-US" w:eastAsia="zh-CN"/>
        </w:rPr>
      </w:pPr>
      <w:r w:rsidRPr="00482585">
        <w:rPr>
          <w:b/>
          <w:bCs/>
          <w:i/>
          <w:iCs/>
          <w:lang w:val="en-US" w:eastAsia="zh-CN"/>
        </w:rPr>
        <w:t xml:space="preserve">Proposal </w:t>
      </w:r>
      <w:r w:rsidR="003B6D36">
        <w:rPr>
          <w:b/>
          <w:bCs/>
          <w:i/>
          <w:iCs/>
          <w:lang w:val="en-US" w:eastAsia="zh-CN"/>
        </w:rPr>
        <w:t>12</w:t>
      </w:r>
      <w:r w:rsidRPr="00482585">
        <w:rPr>
          <w:b/>
          <w:bCs/>
          <w:i/>
          <w:iCs/>
          <w:lang w:val="en-US" w:eastAsia="zh-CN"/>
        </w:rPr>
        <w:t>: The number of CSI-RS resource sets for DO report and the number of CSI-RS resources for channel measurement for CJT-CSI report should be the same</w:t>
      </w:r>
      <w:r>
        <w:rPr>
          <w:b/>
          <w:bCs/>
          <w:i/>
          <w:iCs/>
          <w:lang w:val="en-US" w:eastAsia="zh-CN"/>
        </w:rPr>
        <w:t>.</w:t>
      </w:r>
    </w:p>
    <w:p w:rsidR="00482585" w:rsidRDefault="00482585" w:rsidP="00475974">
      <w:pPr>
        <w:pStyle w:val="0Maintext"/>
        <w:spacing w:after="120" w:afterAutospacing="0" w:line="240" w:lineRule="auto"/>
        <w:ind w:firstLine="0"/>
        <w:rPr>
          <w:lang w:val="en-US" w:eastAsia="zh-CN"/>
        </w:rPr>
      </w:pPr>
      <w:r>
        <w:rPr>
          <w:lang w:val="en-US" w:eastAsia="zh-CN"/>
        </w:rPr>
        <w:t>A</w:t>
      </w:r>
      <w:r w:rsidR="004C5AB5">
        <w:rPr>
          <w:lang w:val="en-US" w:eastAsia="zh-CN"/>
        </w:rPr>
        <w:t xml:space="preserve">nother </w:t>
      </w:r>
      <w:r>
        <w:rPr>
          <w:lang w:val="en-US" w:eastAsia="zh-CN"/>
        </w:rPr>
        <w:t xml:space="preserve">issue is the minimum processing delay for the joint trigger mode. Since UE needs to calculate the DO first and then it can calculate the CJT-CSI, the minimum processing delay should be based on the sum of the minimum processing delay for DO report and CJT-CSI report. </w:t>
      </w:r>
    </w:p>
    <w:p w:rsidR="00482585" w:rsidRPr="00482585" w:rsidRDefault="00482585" w:rsidP="00475974">
      <w:pPr>
        <w:pStyle w:val="0Maintext"/>
        <w:spacing w:after="120" w:afterAutospacing="0" w:line="240" w:lineRule="auto"/>
        <w:ind w:firstLine="0"/>
        <w:rPr>
          <w:b/>
          <w:bCs/>
          <w:i/>
          <w:iCs/>
          <w:lang w:val="en-US" w:eastAsia="zh-CN"/>
        </w:rPr>
      </w:pPr>
      <w:r w:rsidRPr="00482585">
        <w:rPr>
          <w:b/>
          <w:bCs/>
          <w:i/>
          <w:iCs/>
          <w:lang w:val="en-US" w:eastAsia="zh-CN"/>
        </w:rPr>
        <w:t xml:space="preserve">Proposal </w:t>
      </w:r>
      <w:r w:rsidR="003B6D36">
        <w:rPr>
          <w:b/>
          <w:bCs/>
          <w:i/>
          <w:iCs/>
          <w:lang w:val="en-US" w:eastAsia="zh-CN"/>
        </w:rPr>
        <w:t>13</w:t>
      </w:r>
      <w:r w:rsidRPr="00482585">
        <w:rPr>
          <w:b/>
          <w:bCs/>
          <w:i/>
          <w:iCs/>
          <w:lang w:val="en-US" w:eastAsia="zh-CN"/>
        </w:rPr>
        <w:t>: For joint triggering operation, the minimum processing delay is the sum of the minimum processing delay for DO report and CJT-CSI report.</w:t>
      </w:r>
    </w:p>
    <w:p w:rsidR="00482585" w:rsidRDefault="00482585" w:rsidP="00475974">
      <w:pPr>
        <w:pStyle w:val="0Maintext"/>
        <w:spacing w:after="120" w:afterAutospacing="0" w:line="240" w:lineRule="auto"/>
        <w:ind w:firstLine="0"/>
        <w:rPr>
          <w:lang w:val="en-US" w:eastAsia="zh-CN"/>
        </w:rPr>
      </w:pPr>
    </w:p>
    <w:p w:rsidR="00577F1E" w:rsidRDefault="004C5AB5" w:rsidP="004C5AB5">
      <w:pPr>
        <w:pStyle w:val="Heading2"/>
      </w:pPr>
      <w:r>
        <w:t>PRB bundling for CSI-RS</w:t>
      </w:r>
    </w:p>
    <w:p w:rsidR="004C5AB5" w:rsidRDefault="004C5AB5" w:rsidP="00475974">
      <w:pPr>
        <w:pStyle w:val="0Maintext"/>
        <w:spacing w:after="120" w:afterAutospacing="0" w:line="240" w:lineRule="auto"/>
        <w:ind w:firstLine="0"/>
        <w:rPr>
          <w:lang w:val="en-US" w:eastAsia="zh-CN"/>
        </w:rPr>
      </w:pPr>
      <w:r>
        <w:rPr>
          <w:lang w:val="en-US" w:eastAsia="zh-CN"/>
        </w:rPr>
        <w:t>For PO measurement, the NW may transmit the CSI-RS based on the precoder that it identifies based on SRS. The NW may apply a wideband precoder or subband precoders for the CSI-RS. Then it is necessary for the NW to tell the UE the PRG size for the precoded CSI-RS, so that the UE can identify the corresponding block size for the channel estimation for the CSI-RS.</w:t>
      </w:r>
    </w:p>
    <w:p w:rsidR="004C5AB5" w:rsidRPr="0030208E" w:rsidRDefault="0030208E" w:rsidP="00475974">
      <w:pPr>
        <w:pStyle w:val="0Maintext"/>
        <w:spacing w:after="120" w:afterAutospacing="0" w:line="240" w:lineRule="auto"/>
        <w:ind w:firstLine="0"/>
        <w:rPr>
          <w:b/>
          <w:bCs/>
          <w:i/>
          <w:iCs/>
          <w:lang w:val="en-US" w:eastAsia="zh-CN"/>
        </w:rPr>
      </w:pPr>
      <w:r w:rsidRPr="0030208E">
        <w:rPr>
          <w:b/>
          <w:bCs/>
          <w:i/>
          <w:iCs/>
          <w:lang w:val="en-US" w:eastAsia="zh-CN"/>
        </w:rPr>
        <w:t xml:space="preserve">Proposal </w:t>
      </w:r>
      <w:r w:rsidR="003B6D36">
        <w:rPr>
          <w:b/>
          <w:bCs/>
          <w:i/>
          <w:iCs/>
          <w:lang w:val="en-US" w:eastAsia="zh-CN"/>
        </w:rPr>
        <w:t>14</w:t>
      </w:r>
      <w:r w:rsidRPr="0030208E">
        <w:rPr>
          <w:b/>
          <w:bCs/>
          <w:i/>
          <w:iCs/>
          <w:lang w:val="en-US" w:eastAsia="zh-CN"/>
        </w:rPr>
        <w:t>: Support the NW to configure the PRG size for the precoded CSI-RS for PO measurement and report.</w:t>
      </w:r>
    </w:p>
    <w:p w:rsidR="00577F1E" w:rsidRPr="00482585" w:rsidRDefault="00577F1E"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031F18">
        <w:rPr>
          <w:rFonts w:hint="eastAsia"/>
          <w:lang w:val="en-US" w:eastAsia="zh-CN"/>
        </w:rPr>
        <w:t>CSI</w:t>
      </w:r>
      <w:r w:rsidR="00031F18">
        <w:rPr>
          <w:lang w:val="en-US" w:eastAsia="zh-CN"/>
        </w:rPr>
        <w:t xml:space="preserve"> </w:t>
      </w:r>
      <w:r w:rsidR="00157942">
        <w:rPr>
          <w:lang w:val="en-US" w:eastAsia="zh-CN"/>
        </w:rPr>
        <w:t>enhancement 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77F1E" w:rsidRDefault="00577F1E" w:rsidP="00577F1E">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Pr>
          <w:b/>
          <w:bCs/>
          <w:i/>
          <w:iCs/>
          <w:lang w:val="en-US" w:eastAsia="zh-CN"/>
        </w:rPr>
        <w:t>1</w:t>
      </w:r>
      <w:r w:rsidRPr="00157942">
        <w:rPr>
          <w:b/>
          <w:bCs/>
          <w:i/>
          <w:iCs/>
          <w:lang w:val="en-US" w:eastAsia="zh-CN"/>
        </w:rPr>
        <w:t xml:space="preserve">: </w:t>
      </w:r>
      <w:r>
        <w:rPr>
          <w:b/>
          <w:bCs/>
          <w:i/>
          <w:iCs/>
          <w:lang w:val="en-US" w:eastAsia="zh-CN"/>
        </w:rPr>
        <w:t xml:space="preserve">When the NW configures a Type1 codebook with more than 32 ports, support the NW configures the reportQuantity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Pr>
          <w:b/>
          <w:bCs/>
          <w:i/>
          <w:iCs/>
          <w:lang w:val="en-US" w:eastAsia="zh-CN"/>
        </w:rPr>
        <w:t xml:space="preserve"> </w:t>
      </w:r>
      <w:r w:rsidRPr="009127D2">
        <w:rPr>
          <w:b/>
          <w:bCs/>
          <w:i/>
          <w:iCs/>
          <w:lang w:val="en-US" w:eastAsia="zh-CN"/>
        </w:rPr>
        <w:t>to distinguish from the legacy Type1 codebook based CSI report based on multiple CSI-RS resources with CRI reported</w:t>
      </w:r>
      <w:r>
        <w:rPr>
          <w:b/>
          <w:bCs/>
          <w:i/>
          <w:iCs/>
          <w:lang w:val="en-US" w:eastAsia="zh-CN"/>
        </w:rPr>
        <w:t>.</w:t>
      </w:r>
    </w:p>
    <w:p w:rsidR="0030208E" w:rsidRPr="007F53C0" w:rsidRDefault="0030208E" w:rsidP="0030208E">
      <w:pPr>
        <w:pStyle w:val="0Maintext"/>
        <w:spacing w:after="120" w:afterAutospacing="0" w:line="240" w:lineRule="auto"/>
        <w:ind w:firstLine="0"/>
        <w:rPr>
          <w:b/>
          <w:bCs/>
          <w:i/>
          <w:iCs/>
          <w:lang w:val="en-US" w:eastAsia="zh-CN"/>
        </w:rPr>
      </w:pPr>
      <w:r w:rsidRPr="007F53C0">
        <w:rPr>
          <w:b/>
          <w:bCs/>
          <w:i/>
          <w:iCs/>
          <w:lang w:val="en-US" w:eastAsia="zh-CN"/>
        </w:rPr>
        <w:t xml:space="preserve">Proposal 2: For power scaling for rank 2, support </w:t>
      </w:r>
      <w:r w:rsidRPr="007F53C0">
        <w:rPr>
          <w:rFonts w:eastAsia="DengXian"/>
          <w:b/>
          <w:bCs/>
          <w:i/>
          <w:iCs/>
          <w:lang w:val="de-DE"/>
        </w:rPr>
        <w:t xml:space="preserve">Alt1: </w:t>
      </w:r>
      <m:oMath>
        <m:r>
          <m:rPr>
            <m:sty m:val="bi"/>
          </m:rPr>
          <w:rPr>
            <w:rFonts w:ascii="Cambria Math" w:hAnsi="Cambria Math"/>
            <w:lang w:val="de-DE"/>
          </w:rPr>
          <m:t>min</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lang w:val="de-DE"/>
                  </w:rPr>
                  <m:t>1</m:t>
                </m:r>
              </m:num>
              <m:den>
                <m:r>
                  <m:rPr>
                    <m:sty m:val="bi"/>
                  </m:rPr>
                  <w:rPr>
                    <w:rFonts w:ascii="Cambria Math" w:hAnsi="Cambria Math"/>
                  </w:rPr>
                  <m:t>υ</m:t>
                </m:r>
              </m:den>
            </m:f>
            <m:r>
              <m:rPr>
                <m:sty m:val="bi"/>
              </m:rPr>
              <w:rPr>
                <w:rFonts w:ascii="Cambria Math" w:hAnsi="Cambria Math"/>
                <w:lang w:val="de-DE"/>
              </w:rPr>
              <m:t>,</m:t>
            </m:r>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lang w:val="de-DE"/>
                      </w:rPr>
                      <m:t>s</m:t>
                    </m:r>
                  </m:e>
                  <m:sub>
                    <m:r>
                      <m:rPr>
                        <m:sty m:val="bi"/>
                      </m:rPr>
                      <w:rPr>
                        <w:rFonts w:ascii="Cambria Math" w:hAnsi="Cambria Math"/>
                        <w:lang w:val="de-DE"/>
                      </w:rPr>
                      <m:t>i</m:t>
                    </m:r>
                  </m:sub>
                  <m:sup>
                    <m:r>
                      <m:rPr>
                        <m:sty m:val="bi"/>
                      </m:rPr>
                      <w:rPr>
                        <w:rFonts w:ascii="Cambria Math" w:hAnsi="Cambria Math"/>
                        <w:lang w:val="de-DE"/>
                      </w:rPr>
                      <m:t>2</m:t>
                    </m:r>
                  </m:sup>
                </m:sSubSup>
              </m:num>
              <m:den>
                <m:sSub>
                  <m:sSubPr>
                    <m:ctrlPr>
                      <w:rPr>
                        <w:rFonts w:ascii="Cambria Math" w:hAnsi="Cambria Math"/>
                        <w:b/>
                        <w:bCs/>
                        <w:i/>
                        <w:iCs/>
                      </w:rPr>
                    </m:ctrlPr>
                  </m:sSubPr>
                  <m:e>
                    <m:r>
                      <m:rPr>
                        <m:sty m:val="bi"/>
                      </m:rPr>
                      <w:rPr>
                        <w:rFonts w:ascii="Cambria Math" w:hAnsi="Cambria Math"/>
                        <w:lang w:val="de-DE"/>
                      </w:rPr>
                      <m:t>r</m:t>
                    </m:r>
                  </m:e>
                  <m:sub>
                    <m:r>
                      <m:rPr>
                        <m:sty m:val="bi"/>
                      </m:rPr>
                      <w:rPr>
                        <w:rFonts w:ascii="Cambria Math" w:hAnsi="Cambria Math"/>
                        <w:lang w:val="de-DE"/>
                      </w:rPr>
                      <m:t>i</m:t>
                    </m:r>
                  </m:sub>
                </m:sSub>
              </m:den>
            </m:f>
          </m:e>
        </m:d>
      </m:oMath>
      <w:r w:rsidRPr="007F53C0">
        <w:rPr>
          <w:b/>
          <w:bCs/>
          <w:i/>
          <w:iCs/>
          <w:lang w:val="en-US" w:eastAsia="zh-CN"/>
        </w:rPr>
        <w:t>.</w:t>
      </w:r>
    </w:p>
    <w:p w:rsidR="003B6D36" w:rsidRDefault="003B6D36" w:rsidP="00577F1E">
      <w:pPr>
        <w:pStyle w:val="0Maintext"/>
        <w:spacing w:after="120" w:afterAutospacing="0" w:line="240" w:lineRule="auto"/>
        <w:ind w:firstLine="0"/>
        <w:rPr>
          <w:b/>
          <w:bCs/>
          <w:i/>
          <w:iCs/>
          <w:lang w:val="en-US" w:eastAsia="zh-CN"/>
        </w:rPr>
      </w:pPr>
      <w:r w:rsidRPr="003B6D36">
        <w:rPr>
          <w:b/>
          <w:bCs/>
          <w:i/>
          <w:iCs/>
          <w:lang w:val="en-US" w:eastAsia="zh-CN"/>
        </w:rPr>
        <w:t>Proposal 3: Support PD-NES for CSI report based on up to 128 ports.</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3B6D36">
        <w:rPr>
          <w:b/>
          <w:bCs/>
          <w:i/>
          <w:iCs/>
          <w:lang w:val="en-US" w:eastAsia="zh-CN"/>
        </w:rPr>
        <w:t>4</w:t>
      </w:r>
      <w:r w:rsidRPr="00AC628B">
        <w:rPr>
          <w:b/>
          <w:bCs/>
          <w:i/>
          <w:iCs/>
          <w:lang w:val="en-US" w:eastAsia="zh-CN"/>
        </w:rPr>
        <w:t>: For the TRSs configured for DO report, support the NW configure the TCI states for the TRSs based on the following schemes: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FO): Separate TCI state for each TRS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FO): All the TRSs are configured with a common TCI state for </w:t>
      </w:r>
      <w:r>
        <w:rPr>
          <w:b/>
          <w:bCs/>
          <w:i/>
          <w:iCs/>
          <w:lang w:val="en-US" w:eastAsia="zh-CN"/>
        </w:rPr>
        <w:t>QCL-TypeC indication without average delay</w:t>
      </w:r>
      <w:r w:rsidRPr="00AC628B">
        <w:rPr>
          <w:b/>
          <w:bCs/>
          <w:i/>
          <w:iCs/>
          <w:lang w:val="en-US" w:eastAsia="zh-CN"/>
        </w:rPr>
        <w:t xml:space="preserve">, and each TRS is configured with a separate TCI state for </w:t>
      </w:r>
      <w:r>
        <w:rPr>
          <w:b/>
          <w:bCs/>
          <w:i/>
          <w:iCs/>
          <w:lang w:val="en-US" w:eastAsia="zh-CN"/>
        </w:rPr>
        <w:t>QCL-TypeC indication without Doppler shift</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3B6D36">
        <w:rPr>
          <w:b/>
          <w:bCs/>
          <w:i/>
          <w:iCs/>
          <w:lang w:val="en-US" w:eastAsia="zh-CN"/>
        </w:rPr>
        <w:t>5</w:t>
      </w:r>
      <w:r w:rsidRPr="00AC628B">
        <w:rPr>
          <w:b/>
          <w:bCs/>
          <w:i/>
          <w:iCs/>
          <w:lang w:val="en-US" w:eastAsia="zh-CN"/>
        </w:rPr>
        <w:t>: For the TRSs configured for FO report, support the NW configure the TCI states for the TRSs based on the following schemes: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 Separate TCI state for each TRS</w:t>
      </w:r>
    </w:p>
    <w:p w:rsidR="00577F1E" w:rsidRPr="00577F1E"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TRSs are configured with a common TCI state for </w:t>
      </w:r>
      <w:r>
        <w:rPr>
          <w:b/>
          <w:bCs/>
          <w:i/>
          <w:iCs/>
          <w:lang w:val="en-US" w:eastAsia="zh-CN"/>
        </w:rPr>
        <w:t>QCL-TypeC indication without Doppler shift</w:t>
      </w:r>
      <w:r w:rsidRPr="00AC628B">
        <w:rPr>
          <w:b/>
          <w:bCs/>
          <w:i/>
          <w:iCs/>
          <w:lang w:val="en-US" w:eastAsia="zh-CN"/>
        </w:rPr>
        <w:t xml:space="preserve">, and each TRS is configured with a separate TCI state for </w:t>
      </w:r>
      <w:r>
        <w:rPr>
          <w:b/>
          <w:bCs/>
          <w:i/>
          <w:iCs/>
          <w:lang w:val="en-US" w:eastAsia="zh-CN"/>
        </w:rPr>
        <w:t>QCL-TypeC indication without average delay</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3B6D36">
        <w:rPr>
          <w:b/>
          <w:bCs/>
          <w:i/>
          <w:iCs/>
          <w:lang w:val="en-US" w:eastAsia="zh-CN"/>
        </w:rPr>
        <w:t>6</w:t>
      </w:r>
      <w:r w:rsidRPr="00AC628B">
        <w:rPr>
          <w:b/>
          <w:bCs/>
          <w:i/>
          <w:iCs/>
          <w:lang w:val="en-US" w:eastAsia="zh-CN"/>
        </w:rPr>
        <w:t>: For PO report, support the following constraints for the single-port CSI-RS resources configured as CMR:</w:t>
      </w:r>
    </w:p>
    <w:p w:rsidR="00577F1E" w:rsidRPr="00AC628B" w:rsidRDefault="00577F1E" w:rsidP="00577F1E">
      <w:pPr>
        <w:pStyle w:val="0Maintext"/>
        <w:numPr>
          <w:ilvl w:val="0"/>
          <w:numId w:val="821"/>
        </w:numPr>
        <w:spacing w:after="120" w:afterAutospacing="0" w:line="240" w:lineRule="auto"/>
        <w:rPr>
          <w:b/>
          <w:bCs/>
          <w:i/>
          <w:iCs/>
          <w:lang w:val="en-US" w:eastAsia="zh-CN"/>
        </w:rPr>
      </w:pPr>
      <w:r w:rsidRPr="00AC628B">
        <w:rPr>
          <w:b/>
          <w:bCs/>
          <w:i/>
          <w:iCs/>
          <w:lang w:val="en-US" w:eastAsia="zh-CN"/>
        </w:rPr>
        <w:t>The minimum bandwidth for the single-port CSI-RS should be min(52, N</w:t>
      </w:r>
      <w:r w:rsidRPr="00AC628B">
        <w:rPr>
          <w:b/>
          <w:bCs/>
          <w:i/>
          <w:iCs/>
          <w:vertAlign w:val="subscript"/>
          <w:lang w:val="en-US" w:eastAsia="zh-CN"/>
        </w:rPr>
        <w:t>BWP</w:t>
      </w:r>
      <w:r w:rsidRPr="00AC628B">
        <w:rPr>
          <w:b/>
          <w:bCs/>
          <w:i/>
          <w:iCs/>
          <w:lang w:val="en-US" w:eastAsia="zh-CN"/>
        </w:rPr>
        <w:t>) RBs, where N</w:t>
      </w:r>
      <w:r w:rsidRPr="00AC628B">
        <w:rPr>
          <w:b/>
          <w:bCs/>
          <w:i/>
          <w:iCs/>
          <w:vertAlign w:val="subscript"/>
          <w:lang w:val="en-US" w:eastAsia="zh-CN"/>
        </w:rPr>
        <w:t>BWP</w:t>
      </w:r>
      <w:r w:rsidRPr="00AC628B">
        <w:rPr>
          <w:b/>
          <w:bCs/>
          <w:i/>
          <w:iCs/>
          <w:lang w:val="en-US" w:eastAsia="zh-CN"/>
        </w:rPr>
        <w:t xml:space="preserve"> is the number of RBs for the active DL BWP</w:t>
      </w:r>
    </w:p>
    <w:p w:rsidR="00577F1E" w:rsidRPr="00577F1E" w:rsidRDefault="00577F1E" w:rsidP="00577F1E">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frequency domain density </w:t>
      </w:r>
      <w:r>
        <w:rPr>
          <w:b/>
          <w:bCs/>
          <w:i/>
          <w:iCs/>
          <w:lang w:val="en-US" w:eastAsia="zh-CN"/>
        </w:rPr>
        <w:t>should be</w:t>
      </w:r>
      <w:r w:rsidRPr="00AC628B">
        <w:rPr>
          <w:b/>
          <w:bCs/>
          <w:i/>
          <w:iCs/>
          <w:lang w:val="en-US" w:eastAsia="zh-CN"/>
        </w:rPr>
        <w:t xml:space="preserve"> 3 REs/RB</w:t>
      </w:r>
    </w:p>
    <w:p w:rsidR="00577F1E" w:rsidRPr="00AC628B" w:rsidRDefault="00577F1E" w:rsidP="00577F1E">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3B6D36">
        <w:rPr>
          <w:b/>
          <w:bCs/>
          <w:i/>
          <w:iCs/>
          <w:lang w:val="en-US" w:eastAsia="zh-CN"/>
        </w:rPr>
        <w:t>7</w:t>
      </w:r>
      <w:r w:rsidRPr="00AC628B">
        <w:rPr>
          <w:b/>
          <w:bCs/>
          <w:i/>
          <w:iCs/>
          <w:lang w:val="en-US" w:eastAsia="zh-CN"/>
        </w:rPr>
        <w:t xml:space="preserve">: For the </w:t>
      </w:r>
      <w:r>
        <w:rPr>
          <w:b/>
          <w:bCs/>
          <w:i/>
          <w:iCs/>
          <w:lang w:val="en-US" w:eastAsia="zh-CN"/>
        </w:rPr>
        <w:t>single-port CSI-RS resources</w:t>
      </w:r>
      <w:r w:rsidRPr="00AC628B">
        <w:rPr>
          <w:b/>
          <w:bCs/>
          <w:i/>
          <w:iCs/>
          <w:lang w:val="en-US" w:eastAsia="zh-CN"/>
        </w:rPr>
        <w:t xml:space="preserve"> configured for FO report, support the NW configure the TCI states for the </w:t>
      </w:r>
      <w:r>
        <w:rPr>
          <w:b/>
          <w:bCs/>
          <w:i/>
          <w:iCs/>
          <w:lang w:val="en-US" w:eastAsia="zh-CN"/>
        </w:rPr>
        <w:t>CSI-RS resources</w:t>
      </w:r>
      <w:r w:rsidRPr="00AC628B">
        <w:rPr>
          <w:b/>
          <w:bCs/>
          <w:i/>
          <w:iCs/>
          <w:lang w:val="en-US" w:eastAsia="zh-CN"/>
        </w:rPr>
        <w:t xml:space="preserve"> based on the following schemes:</w:t>
      </w:r>
    </w:p>
    <w:p w:rsidR="00577F1E" w:rsidRPr="00AC628B"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w:t>
      </w:r>
      <w:r>
        <w:rPr>
          <w:b/>
          <w:bCs/>
          <w:i/>
          <w:iCs/>
          <w:lang w:val="en-US" w:eastAsia="zh-CN"/>
        </w:rPr>
        <w:t>/FO</w:t>
      </w:r>
      <w:r w:rsidRPr="00AC628B">
        <w:rPr>
          <w:b/>
          <w:bCs/>
          <w:i/>
          <w:iCs/>
          <w:lang w:val="en-US" w:eastAsia="zh-CN"/>
        </w:rPr>
        <w:t xml:space="preserve">): Separate TCI state </w:t>
      </w:r>
      <w:r>
        <w:rPr>
          <w:b/>
          <w:bCs/>
          <w:i/>
          <w:iCs/>
          <w:lang w:val="en-US" w:eastAsia="zh-CN"/>
        </w:rPr>
        <w:t xml:space="preserve">with QCL-TypeC indication </w:t>
      </w:r>
      <w:r w:rsidRPr="00AC628B">
        <w:rPr>
          <w:b/>
          <w:bCs/>
          <w:i/>
          <w:iCs/>
          <w:lang w:val="en-US" w:eastAsia="zh-CN"/>
        </w:rPr>
        <w:t xml:space="preserve">for each </w:t>
      </w:r>
      <w:r>
        <w:rPr>
          <w:b/>
          <w:bCs/>
          <w:i/>
          <w:iCs/>
          <w:lang w:val="en-US" w:eastAsia="zh-CN"/>
        </w:rPr>
        <w:t>CSI-RS resource</w:t>
      </w:r>
    </w:p>
    <w:p w:rsidR="00577F1E"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Doppler shift</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average delay</w:t>
      </w:r>
    </w:p>
    <w:p w:rsidR="00577F1E" w:rsidRDefault="00577F1E" w:rsidP="00577F1E">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3</w:t>
      </w:r>
      <w:r w:rsidRPr="00AC628B">
        <w:rPr>
          <w:b/>
          <w:bCs/>
          <w:i/>
          <w:iCs/>
          <w:lang w:val="en-US" w:eastAsia="zh-CN"/>
        </w:rPr>
        <w:t xml:space="preserve"> (With pre-compensation of </w:t>
      </w:r>
      <w:r>
        <w:rPr>
          <w:b/>
          <w:bCs/>
          <w:i/>
          <w:iCs/>
          <w:lang w:val="en-US" w:eastAsia="zh-CN"/>
        </w:rPr>
        <w:t>F</w:t>
      </w:r>
      <w:r w:rsidRPr="00AC628B">
        <w:rPr>
          <w:b/>
          <w:bCs/>
          <w:i/>
          <w:iCs/>
          <w:lang w:val="en-US" w:eastAsia="zh-CN"/>
        </w:rPr>
        <w:t xml:space="preserve">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average delay</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Doppler shift</w:t>
      </w:r>
    </w:p>
    <w:p w:rsidR="0030208E" w:rsidRPr="0030208E" w:rsidRDefault="00577F1E" w:rsidP="0030208E">
      <w:pPr>
        <w:pStyle w:val="0Maintext"/>
        <w:numPr>
          <w:ilvl w:val="0"/>
          <w:numId w:val="645"/>
        </w:numPr>
        <w:spacing w:after="120" w:afterAutospacing="0" w:line="240" w:lineRule="auto"/>
        <w:rPr>
          <w:b/>
          <w:bCs/>
          <w:i/>
          <w:iCs/>
          <w:lang w:val="en-US" w:eastAsia="zh-CN"/>
        </w:rPr>
      </w:pPr>
      <w:r w:rsidRPr="00AC628B">
        <w:rPr>
          <w:b/>
          <w:bCs/>
          <w:i/>
          <w:iCs/>
          <w:lang w:val="en-US" w:eastAsia="zh-CN"/>
        </w:rPr>
        <w:lastRenderedPageBreak/>
        <w:t xml:space="preserve">Scheme </w:t>
      </w:r>
      <w:r>
        <w:rPr>
          <w:b/>
          <w:bCs/>
          <w:i/>
          <w:iCs/>
          <w:lang w:val="en-US" w:eastAsia="zh-CN"/>
        </w:rPr>
        <w:t>4</w:t>
      </w:r>
      <w:r w:rsidRPr="00AC628B">
        <w:rPr>
          <w:b/>
          <w:bCs/>
          <w:i/>
          <w:iCs/>
          <w:lang w:val="en-US" w:eastAsia="zh-CN"/>
        </w:rPr>
        <w:t xml:space="preserve"> (With pre-compensation of DO</w:t>
      </w:r>
      <w:r>
        <w:rPr>
          <w:b/>
          <w:bCs/>
          <w:i/>
          <w:iCs/>
          <w:lang w:val="en-US" w:eastAsia="zh-CN"/>
        </w:rPr>
        <w:t xml:space="preserve"> and FO</w:t>
      </w:r>
      <w:r w:rsidRPr="00AC628B">
        <w:rPr>
          <w:b/>
          <w:bCs/>
          <w:i/>
          <w:iCs/>
          <w:lang w:val="en-US" w:eastAsia="zh-CN"/>
        </w:rPr>
        <w:t xml:space="preserve">):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 xml:space="preserve">QCL-TypeC </w:t>
      </w:r>
      <w:r w:rsidRPr="00AC628B">
        <w:rPr>
          <w:b/>
          <w:bCs/>
          <w:i/>
          <w:iCs/>
          <w:lang w:val="en-US" w:eastAsia="zh-CN"/>
        </w:rPr>
        <w:t>indication</w:t>
      </w:r>
    </w:p>
    <w:p w:rsidR="0030208E" w:rsidRPr="00B179E3" w:rsidRDefault="0030208E" w:rsidP="0030208E">
      <w:pPr>
        <w:pStyle w:val="0Maintext"/>
        <w:spacing w:after="120" w:afterAutospacing="0" w:line="240" w:lineRule="auto"/>
        <w:ind w:firstLine="0"/>
        <w:rPr>
          <w:b/>
          <w:bCs/>
          <w:i/>
          <w:iCs/>
          <w:lang w:val="en-US" w:eastAsia="zh-CN"/>
        </w:rPr>
      </w:pPr>
      <w:r w:rsidRPr="00B179E3">
        <w:rPr>
          <w:b/>
          <w:bCs/>
          <w:i/>
          <w:iCs/>
          <w:lang w:val="en-US" w:eastAsia="zh-CN"/>
        </w:rPr>
        <w:t xml:space="preserve">Proposal </w:t>
      </w:r>
      <w:r w:rsidR="003B6D36">
        <w:rPr>
          <w:b/>
          <w:bCs/>
          <w:i/>
          <w:iCs/>
          <w:lang w:val="en-US" w:eastAsia="zh-CN"/>
        </w:rPr>
        <w:t>8</w:t>
      </w:r>
      <w:r w:rsidRPr="00B179E3">
        <w:rPr>
          <w:b/>
          <w:bCs/>
          <w:i/>
          <w:iCs/>
          <w:lang w:val="en-US" w:eastAsia="zh-CN"/>
        </w:rPr>
        <w:t xml:space="preserve">: </w:t>
      </w:r>
      <w:r w:rsidRPr="007F53C0">
        <w:rPr>
          <w:b/>
          <w:bCs/>
          <w:i/>
          <w:iCs/>
          <w:lang w:val="en-US" w:eastAsia="zh-CN"/>
        </w:rPr>
        <w:t xml:space="preserve">For aperiodic SRS, </w:t>
      </w:r>
      <w:r w:rsidRPr="007F53C0">
        <w:rPr>
          <w:rFonts w:eastAsia="Malgun Gothic"/>
          <w:b/>
          <w:bCs/>
          <w:i/>
          <w:iCs/>
        </w:rPr>
        <w:t>the SRS transmission occasion for determining the reference UE antenna port corresponds to the latest SRS transmission occasion before the occasions of the N</w:t>
      </w:r>
      <w:r w:rsidRPr="007F53C0">
        <w:rPr>
          <w:rFonts w:eastAsia="Malgun Gothic"/>
          <w:b/>
          <w:bCs/>
          <w:i/>
          <w:iCs/>
          <w:vertAlign w:val="subscript"/>
        </w:rPr>
        <w:t>TRP</w:t>
      </w:r>
      <w:r w:rsidRPr="007F53C0">
        <w:rPr>
          <w:rFonts w:eastAsia="Malgun Gothic"/>
          <w:b/>
          <w:bCs/>
          <w:i/>
          <w:iCs/>
        </w:rPr>
        <w:t xml:space="preserve"> CSI-RS resources used for measuring ‘cjtc-P’ report.</w:t>
      </w:r>
    </w:p>
    <w:p w:rsidR="0030208E" w:rsidRPr="00396F46" w:rsidRDefault="0030208E" w:rsidP="0030208E">
      <w:pPr>
        <w:pStyle w:val="0Maintext"/>
        <w:spacing w:after="120" w:afterAutospacing="0" w:line="240" w:lineRule="auto"/>
        <w:ind w:firstLine="0"/>
        <w:rPr>
          <w:b/>
          <w:bCs/>
          <w:i/>
          <w:iCs/>
          <w:lang w:val="en-US" w:eastAsia="zh-CN"/>
        </w:rPr>
      </w:pPr>
      <w:r w:rsidRPr="00396F46">
        <w:rPr>
          <w:b/>
          <w:bCs/>
          <w:i/>
          <w:iCs/>
          <w:lang w:val="en-US" w:eastAsia="zh-CN"/>
        </w:rPr>
        <w:t xml:space="preserve">Proposal </w:t>
      </w:r>
      <w:r w:rsidR="003B6D36">
        <w:rPr>
          <w:b/>
          <w:bCs/>
          <w:i/>
          <w:iCs/>
          <w:lang w:val="en-US" w:eastAsia="zh-CN"/>
        </w:rPr>
        <w:t>9</w:t>
      </w:r>
      <w:r w:rsidRPr="00396F46">
        <w:rPr>
          <w:b/>
          <w:bCs/>
          <w:i/>
          <w:iCs/>
          <w:lang w:val="en-US" w:eastAsia="zh-CN"/>
        </w:rPr>
        <w:t xml:space="preserve">: Support the UE to select the associated SRS resource </w:t>
      </w:r>
      <w:r>
        <w:rPr>
          <w:b/>
          <w:bCs/>
          <w:i/>
          <w:iCs/>
          <w:lang w:val="en-US" w:eastAsia="zh-CN"/>
        </w:rPr>
        <w:t xml:space="preserve">set </w:t>
      </w:r>
      <w:r w:rsidRPr="00396F46">
        <w:rPr>
          <w:b/>
          <w:bCs/>
          <w:i/>
          <w:iCs/>
          <w:lang w:val="en-US" w:eastAsia="zh-CN"/>
        </w:rPr>
        <w:t>for PO report as follows</w:t>
      </w:r>
    </w:p>
    <w:p w:rsidR="0030208E" w:rsidRPr="00396F46" w:rsidRDefault="0030208E" w:rsidP="0030208E">
      <w:pPr>
        <w:pStyle w:val="0Maintext"/>
        <w:numPr>
          <w:ilvl w:val="0"/>
          <w:numId w:val="1048"/>
        </w:numPr>
        <w:spacing w:after="120" w:afterAutospacing="0" w:line="240" w:lineRule="auto"/>
        <w:rPr>
          <w:b/>
          <w:bCs/>
          <w:i/>
          <w:iCs/>
          <w:lang w:val="en-US" w:eastAsia="zh-CN"/>
        </w:rPr>
      </w:pPr>
      <w:r w:rsidRPr="00396F46">
        <w:rPr>
          <w:b/>
          <w:bCs/>
          <w:i/>
          <w:iCs/>
          <w:lang w:val="en-US" w:eastAsia="zh-CN"/>
        </w:rPr>
        <w:t>When one periodic SRS resource set and one aperiodic SRS resource set are configured, UE selects the associated SRS resource based on the periodic SRS resource set</w:t>
      </w:r>
    </w:p>
    <w:p w:rsidR="0030208E" w:rsidRPr="00396F46" w:rsidRDefault="0030208E" w:rsidP="0030208E">
      <w:pPr>
        <w:pStyle w:val="0Maintext"/>
        <w:numPr>
          <w:ilvl w:val="0"/>
          <w:numId w:val="1048"/>
        </w:numPr>
        <w:spacing w:after="120" w:afterAutospacing="0" w:line="240" w:lineRule="auto"/>
        <w:rPr>
          <w:b/>
          <w:bCs/>
          <w:i/>
          <w:iCs/>
          <w:lang w:val="en-US" w:eastAsia="zh-CN"/>
        </w:rPr>
      </w:pPr>
      <w:r w:rsidRPr="00396F46">
        <w:rPr>
          <w:b/>
          <w:bCs/>
          <w:i/>
          <w:iCs/>
          <w:lang w:val="en-US" w:eastAsia="zh-CN"/>
        </w:rPr>
        <w:t>When two semi-persistent SRS resource sets are configured, UE selects the associated SRS resource based on the activated SRS resource set</w:t>
      </w:r>
    </w:p>
    <w:p w:rsidR="0030208E" w:rsidRPr="0030208E" w:rsidRDefault="0030208E" w:rsidP="0030208E">
      <w:pPr>
        <w:pStyle w:val="0Maintext"/>
        <w:numPr>
          <w:ilvl w:val="0"/>
          <w:numId w:val="1048"/>
        </w:numPr>
        <w:spacing w:after="120" w:afterAutospacing="0" w:line="240" w:lineRule="auto"/>
        <w:rPr>
          <w:b/>
          <w:bCs/>
          <w:i/>
          <w:iCs/>
          <w:lang w:val="en-US" w:eastAsia="zh-CN"/>
        </w:rPr>
      </w:pPr>
      <w:r w:rsidRPr="00396F46">
        <w:rPr>
          <w:b/>
          <w:bCs/>
          <w:i/>
          <w:iCs/>
          <w:lang w:val="en-US" w:eastAsia="zh-CN"/>
        </w:rPr>
        <w:t>When two aperiodic SRS resource sets are configured, UE selects the associated SRS resource based on the SRS resource set with lower set ID</w:t>
      </w:r>
    </w:p>
    <w:p w:rsidR="0030208E" w:rsidRDefault="0030208E" w:rsidP="0030208E">
      <w:pPr>
        <w:pStyle w:val="0Maintext"/>
        <w:spacing w:after="120" w:afterAutospacing="0" w:line="240" w:lineRule="auto"/>
        <w:ind w:firstLine="0"/>
        <w:rPr>
          <w:b/>
          <w:bCs/>
          <w:i/>
          <w:iCs/>
          <w:lang w:val="en-US" w:eastAsia="zh-CN"/>
        </w:rPr>
      </w:pPr>
      <w:r w:rsidRPr="000205DD">
        <w:rPr>
          <w:b/>
          <w:bCs/>
          <w:i/>
          <w:iCs/>
          <w:lang w:val="en-US" w:eastAsia="zh-CN"/>
        </w:rPr>
        <w:t xml:space="preserve">Proposal </w:t>
      </w:r>
      <w:r w:rsidR="003B6D36">
        <w:rPr>
          <w:b/>
          <w:bCs/>
          <w:i/>
          <w:iCs/>
          <w:lang w:val="en-US" w:eastAsia="zh-CN"/>
        </w:rPr>
        <w:t>10</w:t>
      </w:r>
      <w:r w:rsidRPr="000205DD">
        <w:rPr>
          <w:b/>
          <w:bCs/>
          <w:i/>
          <w:iCs/>
          <w:lang w:val="en-US" w:eastAsia="zh-CN"/>
        </w:rPr>
        <w:t>: Support the NW to inform UE whether it transmits the CSI-RS resources for PO measurement with DO pre-compensation.</w:t>
      </w:r>
    </w:p>
    <w:p w:rsidR="0030208E" w:rsidRPr="00482585" w:rsidRDefault="0030208E" w:rsidP="0030208E">
      <w:pPr>
        <w:pStyle w:val="0Maintext"/>
        <w:spacing w:after="120" w:afterAutospacing="0" w:line="240" w:lineRule="auto"/>
        <w:ind w:firstLine="0"/>
        <w:rPr>
          <w:b/>
          <w:bCs/>
          <w:i/>
          <w:iCs/>
          <w:lang w:val="en-US" w:eastAsia="zh-CN"/>
        </w:rPr>
      </w:pPr>
      <w:r w:rsidRPr="00482585">
        <w:rPr>
          <w:b/>
          <w:bCs/>
          <w:i/>
          <w:iCs/>
          <w:lang w:val="en-US" w:eastAsia="zh-CN"/>
        </w:rPr>
        <w:t xml:space="preserve">Proposal </w:t>
      </w:r>
      <w:r w:rsidR="003B6D36">
        <w:rPr>
          <w:b/>
          <w:bCs/>
          <w:i/>
          <w:iCs/>
          <w:lang w:val="en-US" w:eastAsia="zh-CN"/>
        </w:rPr>
        <w:t>11</w:t>
      </w:r>
      <w:r w:rsidRPr="00482585">
        <w:rPr>
          <w:b/>
          <w:bCs/>
          <w:i/>
          <w:iCs/>
          <w:lang w:val="en-US" w:eastAsia="zh-CN"/>
        </w:rPr>
        <w:t xml:space="preserve">: If UE reports an invalid DO in the associated DO report, i.e., </w:t>
      </w:r>
      <w:r>
        <w:rPr>
          <w:b/>
          <w:bCs/>
          <w:i/>
          <w:iCs/>
          <w:lang w:val="en-US" w:eastAsia="zh-CN"/>
        </w:rPr>
        <w:t>out-of-range</w:t>
      </w:r>
      <w:r w:rsidRPr="00482585">
        <w:rPr>
          <w:b/>
          <w:bCs/>
          <w:i/>
          <w:iCs/>
          <w:lang w:val="en-US" w:eastAsia="zh-CN"/>
        </w:rPr>
        <w:t>, it calculates the CJT-CSI based on a default DO value, i.e., DO = 0.</w:t>
      </w:r>
    </w:p>
    <w:p w:rsidR="0030208E" w:rsidRPr="004C5AB5" w:rsidRDefault="0030208E" w:rsidP="0030208E">
      <w:pPr>
        <w:pStyle w:val="0Maintext"/>
        <w:spacing w:after="120" w:afterAutospacing="0" w:line="240" w:lineRule="auto"/>
        <w:ind w:firstLine="0"/>
        <w:rPr>
          <w:b/>
          <w:bCs/>
          <w:i/>
          <w:iCs/>
          <w:lang w:val="en-US" w:eastAsia="zh-CN"/>
        </w:rPr>
      </w:pPr>
      <w:r w:rsidRPr="00482585">
        <w:rPr>
          <w:b/>
          <w:bCs/>
          <w:i/>
          <w:iCs/>
          <w:lang w:val="en-US" w:eastAsia="zh-CN"/>
        </w:rPr>
        <w:t xml:space="preserve">Proposal </w:t>
      </w:r>
      <w:r w:rsidR="003B6D36">
        <w:rPr>
          <w:b/>
          <w:bCs/>
          <w:i/>
          <w:iCs/>
          <w:lang w:val="en-US" w:eastAsia="zh-CN"/>
        </w:rPr>
        <w:t>12</w:t>
      </w:r>
      <w:r w:rsidRPr="00482585">
        <w:rPr>
          <w:b/>
          <w:bCs/>
          <w:i/>
          <w:iCs/>
          <w:lang w:val="en-US" w:eastAsia="zh-CN"/>
        </w:rPr>
        <w:t>: The number of CSI-RS resource sets for DO report and the number of CSI-RS resources for channel measurement for CJT-CSI report should be the same</w:t>
      </w:r>
      <w:r>
        <w:rPr>
          <w:b/>
          <w:bCs/>
          <w:i/>
          <w:iCs/>
          <w:lang w:val="en-US" w:eastAsia="zh-CN"/>
        </w:rPr>
        <w:t>.</w:t>
      </w:r>
    </w:p>
    <w:p w:rsidR="0030208E" w:rsidRPr="00482585" w:rsidRDefault="0030208E" w:rsidP="0030208E">
      <w:pPr>
        <w:pStyle w:val="0Maintext"/>
        <w:spacing w:after="120" w:afterAutospacing="0" w:line="240" w:lineRule="auto"/>
        <w:ind w:firstLine="0"/>
        <w:rPr>
          <w:b/>
          <w:bCs/>
          <w:i/>
          <w:iCs/>
          <w:lang w:val="en-US" w:eastAsia="zh-CN"/>
        </w:rPr>
      </w:pPr>
      <w:r w:rsidRPr="00482585">
        <w:rPr>
          <w:b/>
          <w:bCs/>
          <w:i/>
          <w:iCs/>
          <w:lang w:val="en-US" w:eastAsia="zh-CN"/>
        </w:rPr>
        <w:t xml:space="preserve">Proposal </w:t>
      </w:r>
      <w:r w:rsidR="003B6D36">
        <w:rPr>
          <w:b/>
          <w:bCs/>
          <w:i/>
          <w:iCs/>
          <w:lang w:val="en-US" w:eastAsia="zh-CN"/>
        </w:rPr>
        <w:t>13</w:t>
      </w:r>
      <w:r w:rsidRPr="00482585">
        <w:rPr>
          <w:b/>
          <w:bCs/>
          <w:i/>
          <w:iCs/>
          <w:lang w:val="en-US" w:eastAsia="zh-CN"/>
        </w:rPr>
        <w:t>: For joint triggering operation, the minimum processing delay is the sum of the minimum processing delay for DO report and CJT-CSI report.</w:t>
      </w:r>
    </w:p>
    <w:p w:rsidR="0030208E" w:rsidRPr="0030208E" w:rsidRDefault="0030208E" w:rsidP="0030208E">
      <w:pPr>
        <w:pStyle w:val="0Maintext"/>
        <w:spacing w:after="120" w:afterAutospacing="0" w:line="240" w:lineRule="auto"/>
        <w:ind w:firstLine="0"/>
        <w:rPr>
          <w:b/>
          <w:bCs/>
          <w:i/>
          <w:iCs/>
          <w:lang w:val="en-US" w:eastAsia="zh-CN"/>
        </w:rPr>
      </w:pPr>
      <w:r w:rsidRPr="0030208E">
        <w:rPr>
          <w:b/>
          <w:bCs/>
          <w:i/>
          <w:iCs/>
          <w:lang w:val="en-US" w:eastAsia="zh-CN"/>
        </w:rPr>
        <w:t xml:space="preserve">Proposal </w:t>
      </w:r>
      <w:r w:rsidR="003B6D36">
        <w:rPr>
          <w:b/>
          <w:bCs/>
          <w:i/>
          <w:iCs/>
          <w:lang w:val="en-US" w:eastAsia="zh-CN"/>
        </w:rPr>
        <w:t>14</w:t>
      </w:r>
      <w:r w:rsidRPr="0030208E">
        <w:rPr>
          <w:b/>
          <w:bCs/>
          <w:i/>
          <w:iCs/>
          <w:lang w:val="en-US" w:eastAsia="zh-CN"/>
        </w:rPr>
        <w:t>: Support the NW to configure the PRG size for the precoded CSI-RS for PO measurement and report.</w:t>
      </w:r>
    </w:p>
    <w:p w:rsidR="00577F1E" w:rsidRPr="00577F1E" w:rsidRDefault="00577F1E" w:rsidP="00577F1E">
      <w:pPr>
        <w:pStyle w:val="0Maintext"/>
        <w:spacing w:after="120" w:afterAutospacing="0" w:line="240" w:lineRule="auto"/>
        <w:ind w:firstLine="0"/>
        <w:rPr>
          <w:b/>
          <w:bCs/>
          <w:i/>
          <w:iCs/>
          <w:lang w:val="en-US" w:eastAsia="zh-CN"/>
        </w:rPr>
      </w:pPr>
    </w:p>
    <w:sectPr w:rsidR="00577F1E" w:rsidRPr="00577F1E"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Nokia Pure Text Light">
    <w:altName w:val="Leelawadee UI"/>
    <w:panose1 w:val="020B0604020202020204"/>
    <w:charset w:val="00"/>
    <w:family w:val="swiss"/>
    <w:pitch w:val="variable"/>
    <w:sig w:usb0="A00002FF" w:usb1="700078FB" w:usb2="00010000" w:usb3="00000000" w:csb0="000001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1002AFF" w:usb1="C0000002" w:usb2="00000008" w:usb3="00000000" w:csb0="000101F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7"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18"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02855AC1"/>
    <w:multiLevelType w:val="hybridMultilevel"/>
    <w:tmpl w:val="AE3E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8"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9"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5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0"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1"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A366745"/>
    <w:multiLevelType w:val="hybridMultilevel"/>
    <w:tmpl w:val="10A4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9"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5"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2"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3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6"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6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5" w15:restartNumberingAfterBreak="0">
    <w:nsid w:val="143D2EA7"/>
    <w:multiLevelType w:val="hybridMultilevel"/>
    <w:tmpl w:val="D91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0"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1" w15:restartNumberingAfterBreak="0">
    <w:nsid w:val="152F570D"/>
    <w:multiLevelType w:val="hybridMultilevel"/>
    <w:tmpl w:val="C018E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1609002D"/>
    <w:multiLevelType w:val="hybridMultilevel"/>
    <w:tmpl w:val="F178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6254087"/>
    <w:multiLevelType w:val="hybridMultilevel"/>
    <w:tmpl w:val="6CD4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8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87"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17037894"/>
    <w:multiLevelType w:val="hybridMultilevel"/>
    <w:tmpl w:val="401C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9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0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1"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7"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8"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9"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5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5"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9"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2"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1"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5"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7"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1"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9"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7" w15:restartNumberingAfterBreak="0">
    <w:nsid w:val="29B53A00"/>
    <w:multiLevelType w:val="hybridMultilevel"/>
    <w:tmpl w:val="9ACE7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351"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6"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0"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337B3B5C"/>
    <w:multiLevelType w:val="hybridMultilevel"/>
    <w:tmpl w:val="EC587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337C6A43"/>
    <w:multiLevelType w:val="hybridMultilevel"/>
    <w:tmpl w:val="9F84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34025C76"/>
    <w:multiLevelType w:val="hybridMultilevel"/>
    <w:tmpl w:val="E554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42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2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3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43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44"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38A9769D"/>
    <w:multiLevelType w:val="multilevel"/>
    <w:tmpl w:val="38A9769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5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6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4"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46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7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3DB5172F"/>
    <w:multiLevelType w:val="hybridMultilevel"/>
    <w:tmpl w:val="29201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3DFD5BAE"/>
    <w:multiLevelType w:val="hybridMultilevel"/>
    <w:tmpl w:val="B81EF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3"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0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6" w15:restartNumberingAfterBreak="0">
    <w:nsid w:val="40DA23F6"/>
    <w:multiLevelType w:val="hybridMultilevel"/>
    <w:tmpl w:val="8C1EF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8"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8"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5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29"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3"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4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548"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9"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1"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3"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55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1"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57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76"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9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7"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8"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0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5"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2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3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4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5" w15:restartNumberingAfterBreak="0">
    <w:nsid w:val="50F339B2"/>
    <w:multiLevelType w:val="hybridMultilevel"/>
    <w:tmpl w:val="1E6C7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4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5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9"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4"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5415039A"/>
    <w:multiLevelType w:val="hybridMultilevel"/>
    <w:tmpl w:val="9664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68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8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69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69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5"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96"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0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2"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70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09"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1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8"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9"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1"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24"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5"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6"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29"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3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7"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3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3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4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4"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5"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6"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8"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50"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5"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6"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57"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0"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1" w15:restartNumberingAfterBreak="0">
    <w:nsid w:val="5F503D6F"/>
    <w:multiLevelType w:val="hybridMultilevel"/>
    <w:tmpl w:val="F70C3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2"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3" w15:restartNumberingAfterBreak="0">
    <w:nsid w:val="5F76EE3B"/>
    <w:multiLevelType w:val="singleLevel"/>
    <w:tmpl w:val="5F76EE3B"/>
    <w:lvl w:ilvl="0">
      <w:start w:val="1"/>
      <w:numFmt w:val="decimal"/>
      <w:suff w:val="space"/>
      <w:lvlText w:val="%1."/>
      <w:lvlJc w:val="left"/>
    </w:lvl>
  </w:abstractNum>
  <w:abstractNum w:abstractNumId="76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6"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8"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3"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8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78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6"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8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9"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0"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9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93"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6"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9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6"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0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1"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1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4"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5"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1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9"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2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2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2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3"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3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43"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85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2" w15:restartNumberingAfterBreak="0">
    <w:nsid w:val="69A47D22"/>
    <w:multiLevelType w:val="hybridMultilevel"/>
    <w:tmpl w:val="9638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5" w15:restartNumberingAfterBreak="0">
    <w:nsid w:val="69BE5AC9"/>
    <w:multiLevelType w:val="hybridMultilevel"/>
    <w:tmpl w:val="41001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5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62" w15:restartNumberingAfterBreak="0">
    <w:nsid w:val="6A2C6600"/>
    <w:multiLevelType w:val="multilevel"/>
    <w:tmpl w:val="9C08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6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87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71" w15:restartNumberingAfterBreak="0">
    <w:nsid w:val="6B2C403F"/>
    <w:multiLevelType w:val="hybridMultilevel"/>
    <w:tmpl w:val="026C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2"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75"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87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8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3"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85"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89"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9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4"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0"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0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90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0" w15:restartNumberingAfterBreak="0">
    <w:nsid w:val="71AE6AC6"/>
    <w:multiLevelType w:val="hybridMultilevel"/>
    <w:tmpl w:val="F6AE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1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6"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7"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8"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1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0"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6"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4"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8"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0"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4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4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5"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9"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53"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5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5"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59"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96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3"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6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7" w15:restartNumberingAfterBreak="0">
    <w:nsid w:val="7822113E"/>
    <w:multiLevelType w:val="hybridMultilevel"/>
    <w:tmpl w:val="6B6EF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0"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7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7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7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8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1" w15:restartNumberingAfterBreak="0">
    <w:nsid w:val="79657839"/>
    <w:multiLevelType w:val="hybridMultilevel"/>
    <w:tmpl w:val="DF1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2"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4"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9"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0"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9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99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9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01"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00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0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2"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1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1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1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2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3"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24"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29"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22"/>
  </w:num>
  <w:num w:numId="2" w16cid:durableId="970673154">
    <w:abstractNumId w:val="435"/>
  </w:num>
  <w:num w:numId="3" w16cid:durableId="1992562566">
    <w:abstractNumId w:val="563"/>
  </w:num>
  <w:num w:numId="4" w16cid:durableId="453331326">
    <w:abstractNumId w:val="911"/>
  </w:num>
  <w:num w:numId="5" w16cid:durableId="2049068586">
    <w:abstractNumId w:val="993"/>
  </w:num>
  <w:num w:numId="6" w16cid:durableId="1034618431">
    <w:abstractNumId w:val="887"/>
  </w:num>
  <w:num w:numId="7" w16cid:durableId="1630545893">
    <w:abstractNumId w:val="816"/>
  </w:num>
  <w:num w:numId="8" w16cid:durableId="1226334133">
    <w:abstractNumId w:val="44"/>
  </w:num>
  <w:num w:numId="9" w16cid:durableId="969670963">
    <w:abstractNumId w:val="271"/>
  </w:num>
  <w:num w:numId="10" w16cid:durableId="13073233">
    <w:abstractNumId w:val="873"/>
  </w:num>
  <w:num w:numId="11" w16cid:durableId="1049451307">
    <w:abstractNumId w:val="950"/>
  </w:num>
  <w:num w:numId="12" w16cid:durableId="1274245175">
    <w:abstractNumId w:val="198"/>
  </w:num>
  <w:num w:numId="13" w16cid:durableId="304745579">
    <w:abstractNumId w:val="370"/>
  </w:num>
  <w:num w:numId="14" w16cid:durableId="1919165698">
    <w:abstractNumId w:val="210"/>
  </w:num>
  <w:num w:numId="15" w16cid:durableId="1280600465">
    <w:abstractNumId w:val="517"/>
  </w:num>
  <w:num w:numId="16" w16cid:durableId="679699497">
    <w:abstractNumId w:val="799"/>
  </w:num>
  <w:num w:numId="17" w16cid:durableId="1350713196">
    <w:abstractNumId w:val="704"/>
  </w:num>
  <w:num w:numId="18" w16cid:durableId="1428229749">
    <w:abstractNumId w:val="315"/>
  </w:num>
  <w:num w:numId="19" w16cid:durableId="1846631695">
    <w:abstractNumId w:val="563"/>
  </w:num>
  <w:num w:numId="20" w16cid:durableId="1338384216">
    <w:abstractNumId w:val="503"/>
  </w:num>
  <w:num w:numId="21" w16cid:durableId="1314724841">
    <w:abstractNumId w:val="965"/>
  </w:num>
  <w:num w:numId="22" w16cid:durableId="580680914">
    <w:abstractNumId w:val="34"/>
  </w:num>
  <w:num w:numId="23" w16cid:durableId="1228760671">
    <w:abstractNumId w:val="71"/>
  </w:num>
  <w:num w:numId="24" w16cid:durableId="352461836">
    <w:abstractNumId w:val="615"/>
  </w:num>
  <w:num w:numId="25" w16cid:durableId="684986501">
    <w:abstractNumId w:val="567"/>
  </w:num>
  <w:num w:numId="26" w16cid:durableId="865874228">
    <w:abstractNumId w:val="997"/>
  </w:num>
  <w:num w:numId="27" w16cid:durableId="213545467">
    <w:abstractNumId w:val="820"/>
  </w:num>
  <w:num w:numId="28" w16cid:durableId="280844023">
    <w:abstractNumId w:val="308"/>
  </w:num>
  <w:num w:numId="29" w16cid:durableId="228615413">
    <w:abstractNumId w:val="339"/>
  </w:num>
  <w:num w:numId="30" w16cid:durableId="1504584805">
    <w:abstractNumId w:val="395"/>
  </w:num>
  <w:num w:numId="31" w16cid:durableId="490677133">
    <w:abstractNumId w:val="905"/>
  </w:num>
  <w:num w:numId="32" w16cid:durableId="1301692385">
    <w:abstractNumId w:val="240"/>
  </w:num>
  <w:num w:numId="33" w16cid:durableId="1541088206">
    <w:abstractNumId w:val="809"/>
  </w:num>
  <w:num w:numId="34" w16cid:durableId="825242615">
    <w:abstractNumId w:val="562"/>
  </w:num>
  <w:num w:numId="35" w16cid:durableId="82335965">
    <w:abstractNumId w:val="600"/>
  </w:num>
  <w:num w:numId="36" w16cid:durableId="1037463953">
    <w:abstractNumId w:val="418"/>
  </w:num>
  <w:num w:numId="37" w16cid:durableId="1844321281">
    <w:abstractNumId w:val="564"/>
  </w:num>
  <w:num w:numId="38" w16cid:durableId="1712336691">
    <w:abstractNumId w:val="79"/>
  </w:num>
  <w:num w:numId="39" w16cid:durableId="1089349044">
    <w:abstractNumId w:val="654"/>
  </w:num>
  <w:num w:numId="40" w16cid:durableId="432475320">
    <w:abstractNumId w:val="899"/>
  </w:num>
  <w:num w:numId="41" w16cid:durableId="1358771858">
    <w:abstractNumId w:val="279"/>
  </w:num>
  <w:num w:numId="42" w16cid:durableId="1271282741">
    <w:abstractNumId w:val="259"/>
  </w:num>
  <w:num w:numId="43" w16cid:durableId="211617635">
    <w:abstractNumId w:val="535"/>
  </w:num>
  <w:num w:numId="44" w16cid:durableId="104425776">
    <w:abstractNumId w:val="60"/>
  </w:num>
  <w:num w:numId="45" w16cid:durableId="1209758397">
    <w:abstractNumId w:val="775"/>
  </w:num>
  <w:num w:numId="46" w16cid:durableId="247740000">
    <w:abstractNumId w:val="919"/>
  </w:num>
  <w:num w:numId="47" w16cid:durableId="1092774725">
    <w:abstractNumId w:val="765"/>
  </w:num>
  <w:num w:numId="48" w16cid:durableId="335882311">
    <w:abstractNumId w:val="586"/>
  </w:num>
  <w:num w:numId="49" w16cid:durableId="1707749635">
    <w:abstractNumId w:val="778"/>
  </w:num>
  <w:num w:numId="50" w16cid:durableId="1850675249">
    <w:abstractNumId w:val="782"/>
  </w:num>
  <w:num w:numId="51" w16cid:durableId="1256283137">
    <w:abstractNumId w:val="197"/>
  </w:num>
  <w:num w:numId="52" w16cid:durableId="1680960883">
    <w:abstractNumId w:val="690"/>
  </w:num>
  <w:num w:numId="53" w16cid:durableId="690103763">
    <w:abstractNumId w:val="706"/>
  </w:num>
  <w:num w:numId="54" w16cid:durableId="1139810598">
    <w:abstractNumId w:val="163"/>
  </w:num>
  <w:num w:numId="55" w16cid:durableId="1427384536">
    <w:abstractNumId w:val="345"/>
  </w:num>
  <w:num w:numId="56" w16cid:durableId="446973763">
    <w:abstractNumId w:val="402"/>
  </w:num>
  <w:num w:numId="57" w16cid:durableId="139613241">
    <w:abstractNumId w:val="669"/>
  </w:num>
  <w:num w:numId="58" w16cid:durableId="1478181182">
    <w:abstractNumId w:val="527"/>
  </w:num>
  <w:num w:numId="59" w16cid:durableId="851795243">
    <w:abstractNumId w:val="360"/>
  </w:num>
  <w:num w:numId="60" w16cid:durableId="141238807">
    <w:abstractNumId w:val="154"/>
  </w:num>
  <w:num w:numId="61" w16cid:durableId="124935656">
    <w:abstractNumId w:val="324"/>
  </w:num>
  <w:num w:numId="62" w16cid:durableId="1207369823">
    <w:abstractNumId w:val="479"/>
  </w:num>
  <w:num w:numId="63" w16cid:durableId="1862473204">
    <w:abstractNumId w:val="838"/>
  </w:num>
  <w:num w:numId="64" w16cid:durableId="1905604542">
    <w:abstractNumId w:val="1016"/>
  </w:num>
  <w:num w:numId="65" w16cid:durableId="982196344">
    <w:abstractNumId w:val="386"/>
  </w:num>
  <w:num w:numId="66" w16cid:durableId="1139298235">
    <w:abstractNumId w:val="632"/>
  </w:num>
  <w:num w:numId="67" w16cid:durableId="204954824">
    <w:abstractNumId w:val="136"/>
  </w:num>
  <w:num w:numId="68" w16cid:durableId="1038746496">
    <w:abstractNumId w:val="977"/>
  </w:num>
  <w:num w:numId="69" w16cid:durableId="1811558101">
    <w:abstractNumId w:val="851"/>
  </w:num>
  <w:num w:numId="70" w16cid:durableId="1843200846">
    <w:abstractNumId w:val="407"/>
  </w:num>
  <w:num w:numId="71" w16cid:durableId="1933119339">
    <w:abstractNumId w:val="837"/>
  </w:num>
  <w:num w:numId="72" w16cid:durableId="1036852241">
    <w:abstractNumId w:val="841"/>
  </w:num>
  <w:num w:numId="73" w16cid:durableId="1790315074">
    <w:abstractNumId w:val="19"/>
  </w:num>
  <w:num w:numId="74" w16cid:durableId="663705308">
    <w:abstractNumId w:val="139"/>
  </w:num>
  <w:num w:numId="75" w16cid:durableId="1957102363">
    <w:abstractNumId w:val="791"/>
  </w:num>
  <w:num w:numId="76" w16cid:durableId="1108499460">
    <w:abstractNumId w:val="927"/>
  </w:num>
  <w:num w:numId="77" w16cid:durableId="1234468293">
    <w:abstractNumId w:val="623"/>
  </w:num>
  <w:num w:numId="78" w16cid:durableId="798187297">
    <w:abstractNumId w:val="270"/>
  </w:num>
  <w:num w:numId="79" w16cid:durableId="1148740106">
    <w:abstractNumId w:val="975"/>
  </w:num>
  <w:num w:numId="80" w16cid:durableId="1447694620">
    <w:abstractNumId w:val="542"/>
  </w:num>
  <w:num w:numId="81" w16cid:durableId="390544746">
    <w:abstractNumId w:val="379"/>
  </w:num>
  <w:num w:numId="82" w16cid:durableId="1409034327">
    <w:abstractNumId w:val="566"/>
  </w:num>
  <w:num w:numId="83" w16cid:durableId="958491209">
    <w:abstractNumId w:val="293"/>
  </w:num>
  <w:num w:numId="84" w16cid:durableId="1079716391">
    <w:abstractNumId w:val="857"/>
  </w:num>
  <w:num w:numId="85" w16cid:durableId="1112434928">
    <w:abstractNumId w:val="759"/>
  </w:num>
  <w:num w:numId="86" w16cid:durableId="44765783">
    <w:abstractNumId w:val="387"/>
  </w:num>
  <w:num w:numId="87" w16cid:durableId="1506021163">
    <w:abstractNumId w:val="1031"/>
  </w:num>
  <w:num w:numId="88" w16cid:durableId="231236709">
    <w:abstractNumId w:val="983"/>
  </w:num>
  <w:num w:numId="89" w16cid:durableId="1425108391">
    <w:abstractNumId w:val="544"/>
  </w:num>
  <w:num w:numId="90" w16cid:durableId="1859351942">
    <w:abstractNumId w:val="347"/>
  </w:num>
  <w:num w:numId="91" w16cid:durableId="1731536428">
    <w:abstractNumId w:val="206"/>
  </w:num>
  <w:num w:numId="92" w16cid:durableId="515383001">
    <w:abstractNumId w:val="59"/>
  </w:num>
  <w:num w:numId="93" w16cid:durableId="360398021">
    <w:abstractNumId w:val="275"/>
  </w:num>
  <w:num w:numId="94" w16cid:durableId="174923808">
    <w:abstractNumId w:val="445"/>
  </w:num>
  <w:num w:numId="95" w16cid:durableId="473181489">
    <w:abstractNumId w:val="27"/>
  </w:num>
  <w:num w:numId="96" w16cid:durableId="1788426273">
    <w:abstractNumId w:val="45"/>
  </w:num>
  <w:num w:numId="97" w16cid:durableId="436874185">
    <w:abstractNumId w:val="155"/>
  </w:num>
  <w:num w:numId="98" w16cid:durableId="1998848881">
    <w:abstractNumId w:val="758"/>
  </w:num>
  <w:num w:numId="99" w16cid:durableId="730663910">
    <w:abstractNumId w:val="188"/>
  </w:num>
  <w:num w:numId="100" w16cid:durableId="705720526">
    <w:abstractNumId w:val="87"/>
  </w:num>
  <w:num w:numId="101" w16cid:durableId="1403674464">
    <w:abstractNumId w:val="999"/>
  </w:num>
  <w:num w:numId="102" w16cid:durableId="815487411">
    <w:abstractNumId w:val="673"/>
  </w:num>
  <w:num w:numId="103" w16cid:durableId="1816412511">
    <w:abstractNumId w:val="413"/>
  </w:num>
  <w:num w:numId="104" w16cid:durableId="291403418">
    <w:abstractNumId w:val="104"/>
  </w:num>
  <w:num w:numId="105" w16cid:durableId="1038819725">
    <w:abstractNumId w:val="991"/>
  </w:num>
  <w:num w:numId="106" w16cid:durableId="1303459653">
    <w:abstractNumId w:val="46"/>
  </w:num>
  <w:num w:numId="107" w16cid:durableId="107505101">
    <w:abstractNumId w:val="209"/>
  </w:num>
  <w:num w:numId="108" w16cid:durableId="771316342">
    <w:abstractNumId w:val="502"/>
  </w:num>
  <w:num w:numId="109" w16cid:durableId="390857075">
    <w:abstractNumId w:val="870"/>
  </w:num>
  <w:num w:numId="110" w16cid:durableId="1317759215">
    <w:abstractNumId w:val="880"/>
  </w:num>
  <w:num w:numId="111" w16cid:durableId="1554851074">
    <w:abstractNumId w:val="301"/>
  </w:num>
  <w:num w:numId="112" w16cid:durableId="70590409">
    <w:abstractNumId w:val="767"/>
  </w:num>
  <w:num w:numId="113" w16cid:durableId="646208079">
    <w:abstractNumId w:val="711"/>
  </w:num>
  <w:num w:numId="114" w16cid:durableId="1368288384">
    <w:abstractNumId w:val="691"/>
  </w:num>
  <w:num w:numId="115" w16cid:durableId="925304387">
    <w:abstractNumId w:val="120"/>
  </w:num>
  <w:num w:numId="116" w16cid:durableId="1780564578">
    <w:abstractNumId w:val="482"/>
  </w:num>
  <w:num w:numId="117" w16cid:durableId="1897661843">
    <w:abstractNumId w:val="257"/>
  </w:num>
  <w:num w:numId="118" w16cid:durableId="262306618">
    <w:abstractNumId w:val="67"/>
  </w:num>
  <w:num w:numId="119" w16cid:durableId="1081870374">
    <w:abstractNumId w:val="555"/>
  </w:num>
  <w:num w:numId="120" w16cid:durableId="1550995798">
    <w:abstractNumId w:val="42"/>
  </w:num>
  <w:num w:numId="121" w16cid:durableId="551312743">
    <w:abstractNumId w:val="903"/>
  </w:num>
  <w:num w:numId="122" w16cid:durableId="2047170488">
    <w:abstractNumId w:val="663"/>
  </w:num>
  <w:num w:numId="123" w16cid:durableId="16395167">
    <w:abstractNumId w:val="422"/>
  </w:num>
  <w:num w:numId="124" w16cid:durableId="611131355">
    <w:abstractNumId w:val="266"/>
  </w:num>
  <w:num w:numId="125" w16cid:durableId="1214999949">
    <w:abstractNumId w:val="148"/>
  </w:num>
  <w:num w:numId="126" w16cid:durableId="1400477">
    <w:abstractNumId w:val="400"/>
  </w:num>
  <w:num w:numId="127" w16cid:durableId="161705551">
    <w:abstractNumId w:val="202"/>
  </w:num>
  <w:num w:numId="128" w16cid:durableId="479345889">
    <w:abstractNumId w:val="319"/>
  </w:num>
  <w:num w:numId="129" w16cid:durableId="1092092798">
    <w:abstractNumId w:val="779"/>
  </w:num>
  <w:num w:numId="130" w16cid:durableId="503056500">
    <w:abstractNumId w:val="707"/>
  </w:num>
  <w:num w:numId="131" w16cid:durableId="1823695070">
    <w:abstractNumId w:val="490"/>
  </w:num>
  <w:num w:numId="132" w16cid:durableId="1654142246">
    <w:abstractNumId w:val="276"/>
  </w:num>
  <w:num w:numId="133" w16cid:durableId="546262173">
    <w:abstractNumId w:val="957"/>
  </w:num>
  <w:num w:numId="134" w16cid:durableId="1971473118">
    <w:abstractNumId w:val="474"/>
  </w:num>
  <w:num w:numId="135" w16cid:durableId="1823081473">
    <w:abstractNumId w:val="986"/>
  </w:num>
  <w:num w:numId="136" w16cid:durableId="952133270">
    <w:abstractNumId w:val="471"/>
  </w:num>
  <w:num w:numId="137" w16cid:durableId="1273829588">
    <w:abstractNumId w:val="25"/>
  </w:num>
  <w:num w:numId="138" w16cid:durableId="972101207">
    <w:abstractNumId w:val="931"/>
  </w:num>
  <w:num w:numId="139" w16cid:durableId="1191842701">
    <w:abstractNumId w:val="367"/>
  </w:num>
  <w:num w:numId="140" w16cid:durableId="835608991">
    <w:abstractNumId w:val="183"/>
  </w:num>
  <w:num w:numId="141" w16cid:durableId="1512062161">
    <w:abstractNumId w:val="810"/>
  </w:num>
  <w:num w:numId="142" w16cid:durableId="1494103221">
    <w:abstractNumId w:val="665"/>
  </w:num>
  <w:num w:numId="143" w16cid:durableId="1018121323">
    <w:abstractNumId w:val="108"/>
  </w:num>
  <w:num w:numId="144" w16cid:durableId="1879588550">
    <w:abstractNumId w:val="144"/>
  </w:num>
  <w:num w:numId="145" w16cid:durableId="1134984519">
    <w:abstractNumId w:val="5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99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647"/>
  </w:num>
  <w:num w:numId="148" w16cid:durableId="1920865252">
    <w:abstractNumId w:val="671"/>
  </w:num>
  <w:num w:numId="149" w16cid:durableId="1342078707">
    <w:abstractNumId w:val="462"/>
  </w:num>
  <w:num w:numId="150" w16cid:durableId="193035228">
    <w:abstractNumId w:val="185"/>
  </w:num>
  <w:num w:numId="151" w16cid:durableId="184439367">
    <w:abstractNumId w:val="63"/>
  </w:num>
  <w:num w:numId="152" w16cid:durableId="621041337">
    <w:abstractNumId w:val="858"/>
  </w:num>
  <w:num w:numId="153" w16cid:durableId="1364986458">
    <w:abstractNumId w:val="244"/>
  </w:num>
  <w:num w:numId="154" w16cid:durableId="1097794206">
    <w:abstractNumId w:val="577"/>
  </w:num>
  <w:num w:numId="155" w16cid:durableId="471293945">
    <w:abstractNumId w:val="219"/>
  </w:num>
  <w:num w:numId="156" w16cid:durableId="233861890">
    <w:abstractNumId w:val="412"/>
  </w:num>
  <w:num w:numId="157" w16cid:durableId="1566799051">
    <w:abstractNumId w:val="520"/>
  </w:num>
  <w:num w:numId="158" w16cid:durableId="1935894964">
    <w:abstractNumId w:val="569"/>
  </w:num>
  <w:num w:numId="159" w16cid:durableId="1499075522">
    <w:abstractNumId w:val="341"/>
  </w:num>
  <w:num w:numId="160" w16cid:durableId="474370772">
    <w:abstractNumId w:val="162"/>
  </w:num>
  <w:num w:numId="161" w16cid:durableId="1393389754">
    <w:abstractNumId w:val="176"/>
  </w:num>
  <w:num w:numId="162" w16cid:durableId="1534030185">
    <w:abstractNumId w:val="831"/>
  </w:num>
  <w:num w:numId="163" w16cid:durableId="279646940">
    <w:abstractNumId w:val="288"/>
  </w:num>
  <w:num w:numId="164" w16cid:durableId="605312509">
    <w:abstractNumId w:val="769"/>
  </w:num>
  <w:num w:numId="165" w16cid:durableId="443185882">
    <w:abstractNumId w:val="939"/>
  </w:num>
  <w:num w:numId="166" w16cid:durableId="1252742756">
    <w:abstractNumId w:val="146"/>
  </w:num>
  <w:num w:numId="167" w16cid:durableId="260846523">
    <w:abstractNumId w:val="667"/>
  </w:num>
  <w:num w:numId="168" w16cid:durableId="1324041525">
    <w:abstractNumId w:val="581"/>
  </w:num>
  <w:num w:numId="169" w16cid:durableId="1262252593">
    <w:abstractNumId w:val="546"/>
  </w:num>
  <w:num w:numId="170" w16cid:durableId="568425394">
    <w:abstractNumId w:val="835"/>
  </w:num>
  <w:num w:numId="171" w16cid:durableId="1098595399">
    <w:abstractNumId w:val="541"/>
  </w:num>
  <w:num w:numId="172" w16cid:durableId="966275078">
    <w:abstractNumId w:val="409"/>
  </w:num>
  <w:num w:numId="173" w16cid:durableId="17505991">
    <w:abstractNumId w:val="968"/>
  </w:num>
  <w:num w:numId="174" w16cid:durableId="2122797601">
    <w:abstractNumId w:val="864"/>
  </w:num>
  <w:num w:numId="175" w16cid:durableId="260995503">
    <w:abstractNumId w:val="348"/>
  </w:num>
  <w:num w:numId="176" w16cid:durableId="79330256">
    <w:abstractNumId w:val="166"/>
  </w:num>
  <w:num w:numId="177" w16cid:durableId="926495480">
    <w:abstractNumId w:val="998"/>
  </w:num>
  <w:num w:numId="178" w16cid:durableId="426199675">
    <w:abstractNumId w:val="446"/>
  </w:num>
  <w:num w:numId="179" w16cid:durableId="669715114">
    <w:abstractNumId w:val="5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625"/>
  </w:num>
  <w:num w:numId="181" w16cid:durableId="616567933">
    <w:abstractNumId w:val="229"/>
  </w:num>
  <w:num w:numId="182" w16cid:durableId="848452348">
    <w:abstractNumId w:val="326"/>
  </w:num>
  <w:num w:numId="183" w16cid:durableId="1333797169">
    <w:abstractNumId w:val="485"/>
  </w:num>
  <w:num w:numId="184" w16cid:durableId="2044944210">
    <w:abstractNumId w:val="30"/>
  </w:num>
  <w:num w:numId="185" w16cid:durableId="183713347">
    <w:abstractNumId w:val="644"/>
  </w:num>
  <w:num w:numId="186" w16cid:durableId="1265381070">
    <w:abstractNumId w:val="1008"/>
  </w:num>
  <w:num w:numId="187" w16cid:durableId="1455371280">
    <w:abstractNumId w:val="1000"/>
  </w:num>
  <w:num w:numId="188" w16cid:durableId="13771316">
    <w:abstractNumId w:val="909"/>
  </w:num>
  <w:num w:numId="189" w16cid:durableId="1552574112">
    <w:abstractNumId w:val="194"/>
  </w:num>
  <w:num w:numId="190" w16cid:durableId="1183209648">
    <w:abstractNumId w:val="1030"/>
  </w:num>
  <w:num w:numId="191" w16cid:durableId="620651123">
    <w:abstractNumId w:val="373"/>
  </w:num>
  <w:num w:numId="192" w16cid:durableId="512190583">
    <w:abstractNumId w:val="925"/>
  </w:num>
  <w:num w:numId="193" w16cid:durableId="1812013657">
    <w:abstractNumId w:val="7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358"/>
  </w:num>
  <w:num w:numId="195" w16cid:durableId="480510505">
    <w:abstractNumId w:val="932"/>
  </w:num>
  <w:num w:numId="196" w16cid:durableId="348870539">
    <w:abstractNumId w:val="299"/>
  </w:num>
  <w:num w:numId="197" w16cid:durableId="755174581">
    <w:abstractNumId w:val="895"/>
  </w:num>
  <w:num w:numId="198" w16cid:durableId="682511064">
    <w:abstractNumId w:val="335"/>
  </w:num>
  <w:num w:numId="199" w16cid:durableId="213124055">
    <w:abstractNumId w:val="236"/>
  </w:num>
  <w:num w:numId="200" w16cid:durableId="1930961606">
    <w:abstractNumId w:val="254"/>
  </w:num>
  <w:num w:numId="201" w16cid:durableId="1187672001">
    <w:abstractNumId w:val="195"/>
  </w:num>
  <w:num w:numId="202" w16cid:durableId="140732686">
    <w:abstractNumId w:val="1007"/>
  </w:num>
  <w:num w:numId="203" w16cid:durableId="2099668977">
    <w:abstractNumId w:val="867"/>
  </w:num>
  <w:num w:numId="204" w16cid:durableId="1423330075">
    <w:abstractNumId w:val="590"/>
  </w:num>
  <w:num w:numId="205" w16cid:durableId="516430635">
    <w:abstractNumId w:val="593"/>
  </w:num>
  <w:num w:numId="206" w16cid:durableId="132914076">
    <w:abstractNumId w:val="868"/>
  </w:num>
  <w:num w:numId="207" w16cid:durableId="1553468210">
    <w:abstractNumId w:val="314"/>
  </w:num>
  <w:num w:numId="208" w16cid:durableId="530605028">
    <w:abstractNumId w:val="262"/>
  </w:num>
  <w:num w:numId="209" w16cid:durableId="1896356902">
    <w:abstractNumId w:val="5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532"/>
  </w:num>
  <w:num w:numId="211" w16cid:durableId="923496937">
    <w:abstractNumId w:val="212"/>
  </w:num>
  <w:num w:numId="212" w16cid:durableId="1288967158">
    <w:abstractNumId w:val="845"/>
  </w:num>
  <w:num w:numId="213" w16cid:durableId="2100056123">
    <w:abstractNumId w:val="850"/>
  </w:num>
  <w:num w:numId="214" w16cid:durableId="674382947">
    <w:abstractNumId w:val="592"/>
  </w:num>
  <w:num w:numId="215" w16cid:durableId="1600212391">
    <w:abstractNumId w:val="9"/>
  </w:num>
  <w:num w:numId="216" w16cid:durableId="957178947">
    <w:abstractNumId w:val="961"/>
  </w:num>
  <w:num w:numId="217" w16cid:durableId="856037630">
    <w:abstractNumId w:val="483"/>
  </w:num>
  <w:num w:numId="218" w16cid:durableId="177741845">
    <w:abstractNumId w:val="633"/>
  </w:num>
  <w:num w:numId="219" w16cid:durableId="234317243">
    <w:abstractNumId w:val="552"/>
  </w:num>
  <w:num w:numId="220" w16cid:durableId="207114382">
    <w:abstractNumId w:val="604"/>
  </w:num>
  <w:num w:numId="221" w16cid:durableId="499197150">
    <w:abstractNumId w:val="575"/>
  </w:num>
  <w:num w:numId="222" w16cid:durableId="208733871">
    <w:abstractNumId w:val="915"/>
  </w:num>
  <w:num w:numId="223" w16cid:durableId="650669702">
    <w:abstractNumId w:val="64"/>
  </w:num>
  <w:num w:numId="224" w16cid:durableId="1420369411">
    <w:abstractNumId w:val="141"/>
  </w:num>
  <w:num w:numId="225" w16cid:durableId="2138523187">
    <w:abstractNumId w:val="594"/>
  </w:num>
  <w:num w:numId="226" w16cid:durableId="1753432703">
    <w:abstractNumId w:val="62"/>
  </w:num>
  <w:num w:numId="227" w16cid:durableId="1286698376">
    <w:abstractNumId w:val="739"/>
  </w:num>
  <w:num w:numId="228" w16cid:durableId="926614891">
    <w:abstractNumId w:val="333"/>
  </w:num>
  <w:num w:numId="229" w16cid:durableId="2003779183">
    <w:abstractNumId w:val="61"/>
  </w:num>
  <w:num w:numId="230" w16cid:durableId="1626421133">
    <w:abstractNumId w:val="595"/>
  </w:num>
  <w:num w:numId="231" w16cid:durableId="1514107354">
    <w:abstractNumId w:val="121"/>
  </w:num>
  <w:num w:numId="232" w16cid:durableId="2002198122">
    <w:abstractNumId w:val="536"/>
  </w:num>
  <w:num w:numId="233" w16cid:durableId="65298297">
    <w:abstractNumId w:val="560"/>
  </w:num>
  <w:num w:numId="234" w16cid:durableId="9379085">
    <w:abstractNumId w:val="924"/>
  </w:num>
  <w:num w:numId="235" w16cid:durableId="792747114">
    <w:abstractNumId w:val="747"/>
  </w:num>
  <w:num w:numId="236" w16cid:durableId="448009427">
    <w:abstractNumId w:val="675"/>
  </w:num>
  <w:num w:numId="237" w16cid:durableId="464274601">
    <w:abstractNumId w:val="515"/>
  </w:num>
  <w:num w:numId="238" w16cid:durableId="1460339731">
    <w:abstractNumId w:val="137"/>
  </w:num>
  <w:num w:numId="239" w16cid:durableId="2088336002">
    <w:abstractNumId w:val="234"/>
  </w:num>
  <w:num w:numId="240" w16cid:durableId="716852569">
    <w:abstractNumId w:val="616"/>
  </w:num>
  <w:num w:numId="241" w16cid:durableId="573198160">
    <w:abstractNumId w:val="99"/>
  </w:num>
  <w:num w:numId="242" w16cid:durableId="2128695751">
    <w:abstractNumId w:val="342"/>
  </w:num>
  <w:num w:numId="243" w16cid:durableId="355353616">
    <w:abstractNumId w:val="844"/>
  </w:num>
  <w:num w:numId="244" w16cid:durableId="347217491">
    <w:abstractNumId w:val="7"/>
    <w:lvlOverride w:ilvl="0">
      <w:startOverride w:val="1"/>
    </w:lvlOverride>
  </w:num>
  <w:num w:numId="245" w16cid:durableId="316805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6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3"/>
  </w:num>
  <w:num w:numId="248" w16cid:durableId="156500565">
    <w:abstractNumId w:val="424"/>
  </w:num>
  <w:num w:numId="249" w16cid:durableId="911039511">
    <w:abstractNumId w:val="808"/>
  </w:num>
  <w:num w:numId="250" w16cid:durableId="689067992">
    <w:abstractNumId w:val="995"/>
  </w:num>
  <w:num w:numId="251" w16cid:durableId="88621504">
    <w:abstractNumId w:val="5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1028"/>
  </w:num>
  <w:num w:numId="253" w16cid:durableId="704646338">
    <w:abstractNumId w:val="979"/>
  </w:num>
  <w:num w:numId="254" w16cid:durableId="411121149">
    <w:abstractNumId w:val="5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369"/>
  </w:num>
  <w:num w:numId="256" w16cid:durableId="1623340113">
    <w:abstractNumId w:val="53"/>
  </w:num>
  <w:num w:numId="257" w16cid:durableId="856625358">
    <w:abstractNumId w:val="946"/>
  </w:num>
  <w:num w:numId="258" w16cid:durableId="1943561945">
    <w:abstractNumId w:val="657"/>
    <w:lvlOverride w:ilvl="0">
      <w:startOverride w:val="1"/>
    </w:lvlOverride>
  </w:num>
  <w:num w:numId="259" w16cid:durableId="1362588517">
    <w:abstractNumId w:val="62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447"/>
  </w:num>
  <w:num w:numId="261" w16cid:durableId="2024940103">
    <w:abstractNumId w:val="897"/>
  </w:num>
  <w:num w:numId="262" w16cid:durableId="765005926">
    <w:abstractNumId w:val="374"/>
  </w:num>
  <w:num w:numId="263" w16cid:durableId="1064451611">
    <w:abstractNumId w:val="177"/>
  </w:num>
  <w:num w:numId="264" w16cid:durableId="1318849390">
    <w:abstractNumId w:val="830"/>
  </w:num>
  <w:num w:numId="265" w16cid:durableId="959382145">
    <w:abstractNumId w:val="92"/>
  </w:num>
  <w:num w:numId="266" w16cid:durableId="850728947">
    <w:abstractNumId w:val="52"/>
  </w:num>
  <w:num w:numId="267" w16cid:durableId="174156760">
    <w:abstractNumId w:val="807"/>
  </w:num>
  <w:num w:numId="268" w16cid:durableId="2101950285">
    <w:abstractNumId w:val="461"/>
  </w:num>
  <w:num w:numId="269" w16cid:durableId="967247845">
    <w:abstractNumId w:val="318"/>
  </w:num>
  <w:num w:numId="270" w16cid:durableId="268204703">
    <w:abstractNumId w:val="204"/>
  </w:num>
  <w:num w:numId="271" w16cid:durableId="2093041769">
    <w:abstractNumId w:val="610"/>
  </w:num>
  <w:num w:numId="272" w16cid:durableId="513807455">
    <w:abstractNumId w:val="1015"/>
  </w:num>
  <w:num w:numId="273" w16cid:durableId="1183780686">
    <w:abstractNumId w:val="540"/>
  </w:num>
  <w:num w:numId="274" w16cid:durableId="1200363486">
    <w:abstractNumId w:val="102"/>
  </w:num>
  <w:num w:numId="275" w16cid:durableId="1744914822">
    <w:abstractNumId w:val="451"/>
  </w:num>
  <w:num w:numId="276" w16cid:durableId="1454054575">
    <w:abstractNumId w:val="246"/>
  </w:num>
  <w:num w:numId="277" w16cid:durableId="375928787">
    <w:abstractNumId w:val="642"/>
  </w:num>
  <w:num w:numId="278" w16cid:durableId="1404376487">
    <w:abstractNumId w:val="700"/>
  </w:num>
  <w:num w:numId="279" w16cid:durableId="1476684686">
    <w:abstractNumId w:val="923"/>
  </w:num>
  <w:num w:numId="280" w16cid:durableId="1680085818">
    <w:abstractNumId w:val="631"/>
  </w:num>
  <w:num w:numId="281" w16cid:durableId="1538276170">
    <w:abstractNumId w:val="912"/>
  </w:num>
  <w:num w:numId="282" w16cid:durableId="1233586950">
    <w:abstractNumId w:val="754"/>
  </w:num>
  <w:num w:numId="283" w16cid:durableId="511064844">
    <w:abstractNumId w:val="980"/>
  </w:num>
  <w:num w:numId="284" w16cid:durableId="112678227">
    <w:abstractNumId w:val="12"/>
  </w:num>
  <w:num w:numId="285" w16cid:durableId="246619738">
    <w:abstractNumId w:val="777"/>
  </w:num>
  <w:num w:numId="286" w16cid:durableId="149561389">
    <w:abstractNumId w:val="1011"/>
  </w:num>
  <w:num w:numId="287" w16cid:durableId="96491753">
    <w:abstractNumId w:val="618"/>
  </w:num>
  <w:num w:numId="288" w16cid:durableId="528303774">
    <w:abstractNumId w:val="722"/>
  </w:num>
  <w:num w:numId="289" w16cid:durableId="1795559387">
    <w:abstractNumId w:val="742"/>
  </w:num>
  <w:num w:numId="290" w16cid:durableId="1876968532">
    <w:abstractNumId w:val="245"/>
  </w:num>
  <w:num w:numId="291" w16cid:durableId="340552470">
    <w:abstractNumId w:val="117"/>
  </w:num>
  <w:num w:numId="292" w16cid:durableId="1955091229">
    <w:abstractNumId w:val="922"/>
  </w:num>
  <w:num w:numId="293" w16cid:durableId="1420175202">
    <w:abstractNumId w:val="430"/>
  </w:num>
  <w:num w:numId="294" w16cid:durableId="384720639">
    <w:abstractNumId w:val="149"/>
  </w:num>
  <w:num w:numId="295" w16cid:durableId="904418190">
    <w:abstractNumId w:val="103"/>
  </w:num>
  <w:num w:numId="296" w16cid:durableId="1065756989">
    <w:abstractNumId w:val="505"/>
  </w:num>
  <w:num w:numId="297" w16cid:durableId="1247687493">
    <w:abstractNumId w:val="405"/>
  </w:num>
  <w:num w:numId="298" w16cid:durableId="462233371">
    <w:abstractNumId w:val="617"/>
  </w:num>
  <w:num w:numId="299" w16cid:durableId="318310673">
    <w:abstractNumId w:val="614"/>
  </w:num>
  <w:num w:numId="300" w16cid:durableId="2061663196">
    <w:abstractNumId w:val="823"/>
  </w:num>
  <w:num w:numId="301" w16cid:durableId="1741949037">
    <w:abstractNumId w:val="538"/>
  </w:num>
  <w:num w:numId="302" w16cid:durableId="1636518501">
    <w:abstractNumId w:val="936"/>
  </w:num>
  <w:num w:numId="303" w16cid:durableId="1371419210">
    <w:abstractNumId w:val="381"/>
  </w:num>
  <w:num w:numId="304" w16cid:durableId="1885681087">
    <w:abstractNumId w:val="199"/>
  </w:num>
  <w:num w:numId="305" w16cid:durableId="718092894">
    <w:abstractNumId w:val="456"/>
  </w:num>
  <w:num w:numId="306" w16cid:durableId="1456869833">
    <w:abstractNumId w:val="733"/>
  </w:num>
  <w:num w:numId="307" w16cid:durableId="1516637">
    <w:abstractNumId w:val="5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226"/>
  </w:num>
  <w:num w:numId="309" w16cid:durableId="524487630">
    <w:abstractNumId w:val="774"/>
  </w:num>
  <w:num w:numId="310" w16cid:durableId="155269771">
    <w:abstractNumId w:val="1027"/>
  </w:num>
  <w:num w:numId="311" w16cid:durableId="520316022">
    <w:abstractNumId w:val="31"/>
  </w:num>
  <w:num w:numId="312" w16cid:durableId="1586840183">
    <w:abstractNumId w:val="751"/>
  </w:num>
  <w:num w:numId="313" w16cid:durableId="487598853">
    <w:abstractNumId w:val="813"/>
  </w:num>
  <w:num w:numId="314" w16cid:durableId="416442120">
    <w:abstractNumId w:val="701"/>
  </w:num>
  <w:num w:numId="315" w16cid:durableId="1570186959">
    <w:abstractNumId w:val="106"/>
  </w:num>
  <w:num w:numId="316" w16cid:durableId="235360647">
    <w:abstractNumId w:val="865"/>
  </w:num>
  <w:num w:numId="317" w16cid:durableId="20127502">
    <w:abstractNumId w:val="26"/>
  </w:num>
  <w:num w:numId="318" w16cid:durableId="190412543">
    <w:abstractNumId w:val="834"/>
  </w:num>
  <w:num w:numId="319" w16cid:durableId="1723820181">
    <w:abstractNumId w:val="771"/>
  </w:num>
  <w:num w:numId="320" w16cid:durableId="1859003746">
    <w:abstractNumId w:val="362"/>
  </w:num>
  <w:num w:numId="321" w16cid:durableId="1745760329">
    <w:abstractNumId w:val="698"/>
  </w:num>
  <w:num w:numId="322" w16cid:durableId="329722360">
    <w:abstractNumId w:val="929"/>
  </w:num>
  <w:num w:numId="323" w16cid:durableId="1257782715">
    <w:abstractNumId w:val="111"/>
  </w:num>
  <w:num w:numId="324" w16cid:durableId="2082945470">
    <w:abstractNumId w:val="824"/>
  </w:num>
  <w:num w:numId="325" w16cid:durableId="1883594749">
    <w:abstractNumId w:val="944"/>
  </w:num>
  <w:num w:numId="326" w16cid:durableId="1222518158">
    <w:abstractNumId w:val="853"/>
  </w:num>
  <w:num w:numId="327" w16cid:durableId="2131241630">
    <w:abstractNumId w:val="585"/>
  </w:num>
  <w:num w:numId="328" w16cid:durableId="617218877">
    <w:abstractNumId w:val="211"/>
  </w:num>
  <w:num w:numId="329" w16cid:durableId="1485197917">
    <w:abstractNumId w:val="636"/>
  </w:num>
  <w:num w:numId="330" w16cid:durableId="19472295">
    <w:abstractNumId w:val="818"/>
  </w:num>
  <w:num w:numId="331" w16cid:durableId="344871083">
    <w:abstractNumId w:val="311"/>
  </w:num>
  <w:num w:numId="332" w16cid:durableId="145324763">
    <w:abstractNumId w:val="249"/>
  </w:num>
  <w:num w:numId="333" w16cid:durableId="1867518763">
    <w:abstractNumId w:val="496"/>
  </w:num>
  <w:num w:numId="334" w16cid:durableId="341056865">
    <w:abstractNumId w:val="846"/>
  </w:num>
  <w:num w:numId="335" w16cid:durableId="921185223">
    <w:abstractNumId w:val="743"/>
  </w:num>
  <w:num w:numId="336" w16cid:durableId="607853744">
    <w:abstractNumId w:val="458"/>
  </w:num>
  <w:num w:numId="337" w16cid:durableId="913128973">
    <w:abstractNumId w:val="1020"/>
  </w:num>
  <w:num w:numId="338" w16cid:durableId="1198350464">
    <w:abstractNumId w:val="531"/>
  </w:num>
  <w:num w:numId="339" w16cid:durableId="1256136611">
    <w:abstractNumId w:val="972"/>
  </w:num>
  <w:num w:numId="340" w16cid:durableId="1824157706">
    <w:abstractNumId w:val="105"/>
  </w:num>
  <w:num w:numId="341" w16cid:durableId="8800527">
    <w:abstractNumId w:val="427"/>
  </w:num>
  <w:num w:numId="342" w16cid:durableId="149835737">
    <w:abstractNumId w:val="504"/>
  </w:num>
  <w:num w:numId="343" w16cid:durableId="99885260">
    <w:abstractNumId w:val="582"/>
  </w:num>
  <w:num w:numId="344" w16cid:durableId="1664966953">
    <w:abstractNumId w:val="21"/>
  </w:num>
  <w:num w:numId="345" w16cid:durableId="820730037">
    <w:abstractNumId w:val="260"/>
  </w:num>
  <w:num w:numId="346" w16cid:durableId="1491023493">
    <w:abstractNumId w:val="297"/>
  </w:num>
  <w:num w:numId="347" w16cid:durableId="1142112344">
    <w:abstractNumId w:val="942"/>
  </w:num>
  <w:num w:numId="348" w16cid:durableId="1102455083">
    <w:abstractNumId w:val="1034"/>
  </w:num>
  <w:num w:numId="349" w16cid:durableId="405344657">
    <w:abstractNumId w:val="0"/>
  </w:num>
  <w:num w:numId="350" w16cid:durableId="363361753">
    <w:abstractNumId w:val="353"/>
  </w:num>
  <w:num w:numId="351" w16cid:durableId="1430195391">
    <w:abstractNumId w:val="652"/>
  </w:num>
  <w:num w:numId="352" w16cid:durableId="675574196">
    <w:abstractNumId w:val="497"/>
  </w:num>
  <w:num w:numId="353" w16cid:durableId="1331830237">
    <w:abstractNumId w:val="470"/>
  </w:num>
  <w:num w:numId="354" w16cid:durableId="1665207310">
    <w:abstractNumId w:val="1010"/>
  </w:num>
  <w:num w:numId="355" w16cid:durableId="630014183">
    <w:abstractNumId w:val="848"/>
  </w:num>
  <w:num w:numId="356" w16cid:durableId="653221145">
    <w:abstractNumId w:val="138"/>
  </w:num>
  <w:num w:numId="357" w16cid:durableId="1468623886">
    <w:abstractNumId w:val="223"/>
  </w:num>
  <w:num w:numId="358" w16cid:durableId="493569940">
    <w:abstractNumId w:val="689"/>
  </w:num>
  <w:num w:numId="359" w16cid:durableId="1169977916">
    <w:abstractNumId w:val="13"/>
  </w:num>
  <w:num w:numId="360" w16cid:durableId="742143149">
    <w:abstractNumId w:val="388"/>
  </w:num>
  <w:num w:numId="361" w16cid:durableId="393503111">
    <w:abstractNumId w:val="346"/>
  </w:num>
  <w:num w:numId="362" w16cid:durableId="944575105">
    <w:abstractNumId w:val="763"/>
  </w:num>
  <w:num w:numId="363" w16cid:durableId="487399848">
    <w:abstractNumId w:val="836"/>
  </w:num>
  <w:num w:numId="364" w16cid:durableId="1751198630">
    <w:abstractNumId w:val="794"/>
  </w:num>
  <w:num w:numId="365" w16cid:durableId="791945339">
    <w:abstractNumId w:val="649"/>
  </w:num>
  <w:num w:numId="366" w16cid:durableId="1229077118">
    <w:abstractNumId w:val="1025"/>
  </w:num>
  <w:num w:numId="367" w16cid:durableId="734670757">
    <w:abstractNumId w:val="854"/>
  </w:num>
  <w:num w:numId="368" w16cid:durableId="442531277">
    <w:abstractNumId w:val="264"/>
  </w:num>
  <w:num w:numId="369" w16cid:durableId="139540584">
    <w:abstractNumId w:val="682"/>
  </w:num>
  <w:num w:numId="370" w16cid:durableId="756024966">
    <w:abstractNumId w:val="511"/>
  </w:num>
  <w:num w:numId="371" w16cid:durableId="1651015305">
    <w:abstractNumId w:val="522"/>
  </w:num>
  <w:num w:numId="372" w16cid:durableId="348140211">
    <w:abstractNumId w:val="252"/>
  </w:num>
  <w:num w:numId="373" w16cid:durableId="1092360015">
    <w:abstractNumId w:val="66"/>
  </w:num>
  <w:num w:numId="374" w16cid:durableId="1837568906">
    <w:abstractNumId w:val="524"/>
  </w:num>
  <w:num w:numId="375" w16cid:durableId="1465659874">
    <w:abstractNumId w:val="840"/>
  </w:num>
  <w:num w:numId="376" w16cid:durableId="1716079692">
    <w:abstractNumId w:val="539"/>
  </w:num>
  <w:num w:numId="377" w16cid:durableId="1440295206">
    <w:abstractNumId w:val="662"/>
  </w:num>
  <w:num w:numId="378" w16cid:durableId="1171214127">
    <w:abstractNumId w:val="11"/>
  </w:num>
  <w:num w:numId="379" w16cid:durableId="1901942021">
    <w:abstractNumId w:val="216"/>
  </w:num>
  <w:num w:numId="380" w16cid:durableId="2007710354">
    <w:abstractNumId w:val="495"/>
  </w:num>
  <w:num w:numId="381" w16cid:durableId="1055737410">
    <w:abstractNumId w:val="607"/>
  </w:num>
  <w:num w:numId="382" w16cid:durableId="473067165">
    <w:abstractNumId w:val="172"/>
  </w:num>
  <w:num w:numId="383" w16cid:durableId="1438066315">
    <w:abstractNumId w:val="130"/>
  </w:num>
  <w:num w:numId="384" w16cid:durableId="1544176313">
    <w:abstractNumId w:val="1026"/>
  </w:num>
  <w:num w:numId="385" w16cid:durableId="1903103185">
    <w:abstractNumId w:val="692"/>
  </w:num>
  <w:num w:numId="386" w16cid:durableId="1810398006">
    <w:abstractNumId w:val="167"/>
  </w:num>
  <w:num w:numId="387" w16cid:durableId="471675312">
    <w:abstractNumId w:val="208"/>
  </w:num>
  <w:num w:numId="388" w16cid:durableId="1501697030">
    <w:abstractNumId w:val="375"/>
  </w:num>
  <w:num w:numId="389" w16cid:durableId="1686326770">
    <w:abstractNumId w:val="640"/>
  </w:num>
  <w:num w:numId="390" w16cid:durableId="2093039795">
    <w:abstractNumId w:val="158"/>
  </w:num>
  <w:num w:numId="391" w16cid:durableId="1265500361">
    <w:abstractNumId w:val="1018"/>
  </w:num>
  <w:num w:numId="392" w16cid:durableId="1495223456">
    <w:abstractNumId w:val="423"/>
  </w:num>
  <w:num w:numId="393" w16cid:durableId="1589192185">
    <w:abstractNumId w:val="557"/>
  </w:num>
  <w:num w:numId="394" w16cid:durableId="154689712">
    <w:abstractNumId w:val="643"/>
  </w:num>
  <w:num w:numId="395" w16cid:durableId="4938298">
    <w:abstractNumId w:val="985"/>
  </w:num>
  <w:num w:numId="396" w16cid:durableId="866676287">
    <w:abstractNumId w:val="888"/>
  </w:num>
  <w:num w:numId="397" w16cid:durableId="918059966">
    <w:abstractNumId w:val="798"/>
  </w:num>
  <w:num w:numId="398" w16cid:durableId="2049992704">
    <w:abstractNumId w:val="734"/>
  </w:num>
  <w:num w:numId="399" w16cid:durableId="391542335">
    <w:abstractNumId w:val="186"/>
  </w:num>
  <w:num w:numId="400" w16cid:durableId="506940125">
    <w:abstractNumId w:val="157"/>
  </w:num>
  <w:num w:numId="401" w16cid:durableId="1317996049">
    <w:abstractNumId w:val="1014"/>
  </w:num>
  <w:num w:numId="402" w16cid:durableId="1593079781">
    <w:abstractNumId w:val="648"/>
  </w:num>
  <w:num w:numId="403" w16cid:durableId="1488939056">
    <w:abstractNumId w:val="964"/>
  </w:num>
  <w:num w:numId="404" w16cid:durableId="1328902201">
    <w:abstractNumId w:val="620"/>
  </w:num>
  <w:num w:numId="405" w16cid:durableId="498154761">
    <w:abstractNumId w:val="694"/>
  </w:num>
  <w:num w:numId="406" w16cid:durableId="1099062148">
    <w:abstractNumId w:val="619"/>
  </w:num>
  <w:num w:numId="407" w16cid:durableId="606162016">
    <w:abstractNumId w:val="512"/>
  </w:num>
  <w:num w:numId="408" w16cid:durableId="1442870423">
    <w:abstractNumId w:val="452"/>
  </w:num>
  <w:num w:numId="409" w16cid:durableId="51584679">
    <w:abstractNumId w:val="123"/>
  </w:num>
  <w:num w:numId="410" w16cid:durableId="750934413">
    <w:abstractNumId w:val="951"/>
  </w:num>
  <w:num w:numId="411" w16cid:durableId="791438090">
    <w:abstractNumId w:val="680"/>
  </w:num>
  <w:num w:numId="412" w16cid:durableId="1287543025">
    <w:abstractNumId w:val="118"/>
  </w:num>
  <w:num w:numId="413" w16cid:durableId="1588229722">
    <w:abstractNumId w:val="928"/>
  </w:num>
  <w:num w:numId="414" w16cid:durableId="791438594">
    <w:abstractNumId w:val="713"/>
  </w:num>
  <w:num w:numId="415" w16cid:durableId="1453359052">
    <w:abstractNumId w:val="710"/>
  </w:num>
  <w:num w:numId="416" w16cid:durableId="31661157">
    <w:abstractNumId w:val="429"/>
  </w:num>
  <w:num w:numId="417" w16cid:durableId="2021002296">
    <w:abstractNumId w:val="175"/>
  </w:num>
  <w:num w:numId="418" w16cid:durableId="2095858963">
    <w:abstractNumId w:val="419"/>
  </w:num>
  <w:num w:numId="419" w16cid:durableId="728304727">
    <w:abstractNumId w:val="613"/>
  </w:num>
  <w:num w:numId="420" w16cid:durableId="135026824">
    <w:abstractNumId w:val="797"/>
  </w:num>
  <w:num w:numId="421" w16cid:durableId="687558800">
    <w:abstractNumId w:val="434"/>
  </w:num>
  <w:num w:numId="422" w16cid:durableId="1478257203">
    <w:abstractNumId w:val="523"/>
  </w:num>
  <w:num w:numId="423" w16cid:durableId="1755858945">
    <w:abstractNumId w:val="160"/>
  </w:num>
  <w:num w:numId="424" w16cid:durableId="418870151">
    <w:abstractNumId w:val="481"/>
  </w:num>
  <w:num w:numId="425" w16cid:durableId="1471745036">
    <w:abstractNumId w:val="302"/>
  </w:num>
  <w:num w:numId="426" w16cid:durableId="1358852517">
    <w:abstractNumId w:val="658"/>
  </w:num>
  <w:num w:numId="427" w16cid:durableId="467094316">
    <w:abstractNumId w:val="717"/>
  </w:num>
  <w:num w:numId="428" w16cid:durableId="330644128">
    <w:abstractNumId w:val="795"/>
  </w:num>
  <w:num w:numId="429" w16cid:durableId="1005744783">
    <w:abstractNumId w:val="826"/>
  </w:num>
  <w:num w:numId="430" w16cid:durableId="891573454">
    <w:abstractNumId w:val="431"/>
  </w:num>
  <w:num w:numId="431" w16cid:durableId="479660585">
    <w:abstractNumId w:val="653"/>
  </w:num>
  <w:num w:numId="432" w16cid:durableId="57939998">
    <w:abstractNumId w:val="788"/>
  </w:num>
  <w:num w:numId="433" w16cid:durableId="1840348433">
    <w:abstractNumId w:val="723"/>
  </w:num>
  <w:num w:numId="434" w16cid:durableId="1055738636">
    <w:abstractNumId w:val="152"/>
  </w:num>
  <w:num w:numId="435" w16cid:durableId="1213273520">
    <w:abstractNumId w:val="237"/>
  </w:num>
  <w:num w:numId="436" w16cid:durableId="614017512">
    <w:abstractNumId w:val="81"/>
  </w:num>
  <w:num w:numId="437" w16cid:durableId="1820147091">
    <w:abstractNumId w:val="937"/>
  </w:num>
  <w:num w:numId="438" w16cid:durableId="2112894459">
    <w:abstractNumId w:val="178"/>
  </w:num>
  <w:num w:numId="439" w16cid:durableId="341131866">
    <w:abstractNumId w:val="1019"/>
  </w:num>
  <w:num w:numId="440" w16cid:durableId="719019349">
    <w:abstractNumId w:val="101"/>
  </w:num>
  <w:num w:numId="441" w16cid:durableId="1558131142">
    <w:abstractNumId w:val="727"/>
  </w:num>
  <w:num w:numId="442" w16cid:durableId="881096831">
    <w:abstractNumId w:val="142"/>
  </w:num>
  <w:num w:numId="443" w16cid:durableId="17440114">
    <w:abstractNumId w:val="699"/>
  </w:num>
  <w:num w:numId="444" w16cid:durableId="1392651313">
    <w:abstractNumId w:val="10"/>
  </w:num>
  <w:num w:numId="445" w16cid:durableId="469128910">
    <w:abstractNumId w:val="438"/>
  </w:num>
  <w:num w:numId="446" w16cid:durableId="1903910086">
    <w:abstractNumId w:val="749"/>
  </w:num>
  <w:num w:numId="447" w16cid:durableId="1828128566">
    <w:abstractNumId w:val="904"/>
  </w:num>
  <w:num w:numId="448" w16cid:durableId="1478260771">
    <w:abstractNumId w:val="784"/>
  </w:num>
  <w:num w:numId="449" w16cid:durableId="765030875">
    <w:abstractNumId w:val="406"/>
  </w:num>
  <w:num w:numId="450" w16cid:durableId="576861868">
    <w:abstractNumId w:val="876"/>
  </w:num>
  <w:num w:numId="451" w16cid:durableId="788861617">
    <w:abstractNumId w:val="906"/>
  </w:num>
  <w:num w:numId="452" w16cid:durableId="1294872015">
    <w:abstractNumId w:val="507"/>
  </w:num>
  <w:num w:numId="453" w16cid:durableId="518547440">
    <w:abstractNumId w:val="343"/>
  </w:num>
  <w:num w:numId="454" w16cid:durableId="652565661">
    <w:abstractNumId w:val="554"/>
  </w:num>
  <w:num w:numId="455" w16cid:durableId="1154906227">
    <w:abstractNumId w:val="432"/>
  </w:num>
  <w:num w:numId="456" w16cid:durableId="434710037">
    <w:abstractNumId w:val="442"/>
  </w:num>
  <w:num w:numId="457" w16cid:durableId="872572154">
    <w:abstractNumId w:val="128"/>
  </w:num>
  <w:num w:numId="458" w16cid:durableId="522323300">
    <w:abstractNumId w:val="107"/>
  </w:num>
  <w:num w:numId="459" w16cid:durableId="213857887">
    <w:abstractNumId w:val="173"/>
  </w:num>
  <w:num w:numId="460" w16cid:durableId="651639162">
    <w:abstractNumId w:val="93"/>
  </w:num>
  <w:num w:numId="461" w16cid:durableId="1028409948">
    <w:abstractNumId w:val="902"/>
  </w:num>
  <w:num w:numId="462" w16cid:durableId="1724787224">
    <w:abstractNumId w:val="960"/>
  </w:num>
  <w:num w:numId="463" w16cid:durableId="76488645">
    <w:abstractNumId w:val="95"/>
  </w:num>
  <w:num w:numId="464" w16cid:durableId="2028561286">
    <w:abstractNumId w:val="436"/>
  </w:num>
  <w:num w:numId="465" w16cid:durableId="1258367534">
    <w:abstractNumId w:val="943"/>
  </w:num>
  <w:num w:numId="466" w16cid:durableId="1515921809">
    <w:abstractNumId w:val="230"/>
  </w:num>
  <w:num w:numId="467" w16cid:durableId="1884171882">
    <w:abstractNumId w:val="572"/>
  </w:num>
  <w:num w:numId="468" w16cid:durableId="1560290597">
    <w:abstractNumId w:val="650"/>
  </w:num>
  <w:num w:numId="469" w16cid:durableId="1101949954">
    <w:abstractNumId w:val="256"/>
  </w:num>
  <w:num w:numId="470" w16cid:durableId="1655647613">
    <w:abstractNumId w:val="310"/>
  </w:num>
  <w:num w:numId="471" w16cid:durableId="436411700">
    <w:abstractNumId w:val="1002"/>
  </w:num>
  <w:num w:numId="472" w16cid:durableId="390928513">
    <w:abstractNumId w:val="340"/>
  </w:num>
  <w:num w:numId="473" w16cid:durableId="851837370">
    <w:abstractNumId w:val="1022"/>
  </w:num>
  <w:num w:numId="474" w16cid:durableId="2012103020">
    <w:abstractNumId w:val="886"/>
  </w:num>
  <w:num w:numId="475" w16cid:durableId="219367992">
    <w:abstractNumId w:val="898"/>
  </w:num>
  <w:num w:numId="476" w16cid:durableId="8773501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371"/>
  </w:num>
  <w:num w:numId="478" w16cid:durableId="2071078013">
    <w:abstractNumId w:val="465"/>
  </w:num>
  <w:num w:numId="479" w16cid:durableId="405996736">
    <w:abstractNumId w:val="304"/>
  </w:num>
  <w:num w:numId="480" w16cid:durableId="1642155238">
    <w:abstractNumId w:val="181"/>
  </w:num>
  <w:num w:numId="481" w16cid:durableId="1413309136">
    <w:abstractNumId w:val="69"/>
  </w:num>
  <w:num w:numId="482" w16cid:durableId="976571691">
    <w:abstractNumId w:val="596"/>
  </w:num>
  <w:num w:numId="483" w16cid:durableId="733813620">
    <w:abstractNumId w:val="714"/>
  </w:num>
  <w:num w:numId="484" w16cid:durableId="1105609635">
    <w:abstractNumId w:val="519"/>
  </w:num>
  <w:num w:numId="485" w16cid:durableId="1987398406">
    <w:abstractNumId w:val="935"/>
  </w:num>
  <w:num w:numId="486" w16cid:durableId="1687753861">
    <w:abstractNumId w:val="213"/>
  </w:num>
  <w:num w:numId="487" w16cid:durableId="1672559508">
    <w:abstractNumId w:val="74"/>
  </w:num>
  <w:num w:numId="488" w16cid:durableId="1718121273">
    <w:abstractNumId w:val="661"/>
  </w:num>
  <w:num w:numId="489" w16cid:durableId="519900822">
    <w:abstractNumId w:val="958"/>
  </w:num>
  <w:num w:numId="490" w16cid:durableId="850602460">
    <w:abstractNumId w:val="914"/>
  </w:num>
  <w:num w:numId="491" w16cid:durableId="292908228">
    <w:abstractNumId w:val="558"/>
  </w:num>
  <w:num w:numId="492" w16cid:durableId="1923833589">
    <w:abstractNumId w:val="825"/>
  </w:num>
  <w:num w:numId="493" w16cid:durableId="603223414">
    <w:abstractNumId w:val="359"/>
  </w:num>
  <w:num w:numId="494" w16cid:durableId="1921669983">
    <w:abstractNumId w:val="588"/>
  </w:num>
  <w:num w:numId="495" w16cid:durableId="78138901">
    <w:abstractNumId w:val="151"/>
  </w:num>
  <w:num w:numId="496" w16cid:durableId="1336150392">
    <w:abstractNumId w:val="1017"/>
  </w:num>
  <w:num w:numId="497" w16cid:durableId="2088770528">
    <w:abstractNumId w:val="720"/>
  </w:num>
  <w:num w:numId="498" w16cid:durableId="149952613">
    <w:abstractNumId w:val="89"/>
  </w:num>
  <w:num w:numId="499" w16cid:durableId="496073718">
    <w:abstractNumId w:val="716"/>
  </w:num>
  <w:num w:numId="500" w16cid:durableId="1642880102">
    <w:abstractNumId w:val="334"/>
  </w:num>
  <w:num w:numId="501" w16cid:durableId="2080127658">
    <w:abstractNumId w:val="91"/>
  </w:num>
  <w:num w:numId="502" w16cid:durableId="1362121308">
    <w:abstractNumId w:val="58"/>
  </w:num>
  <w:num w:numId="503" w16cid:durableId="2030179636">
    <w:abstractNumId w:val="5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821"/>
  </w:num>
  <w:num w:numId="505" w16cid:durableId="451898722">
    <w:abstractNumId w:val="969"/>
  </w:num>
  <w:num w:numId="506" w16cid:durableId="1943799309">
    <w:abstractNumId w:val="473"/>
  </w:num>
  <w:num w:numId="507" w16cid:durableId="2006008425">
    <w:abstractNumId w:val="1021"/>
  </w:num>
  <w:num w:numId="508" w16cid:durableId="2139951819">
    <w:abstractNumId w:val="805"/>
  </w:num>
  <w:num w:numId="509" w16cid:durableId="383800106">
    <w:abstractNumId w:val="96"/>
  </w:num>
  <w:num w:numId="510" w16cid:durableId="951281625">
    <w:abstractNumId w:val="521"/>
  </w:num>
  <w:num w:numId="511" w16cid:durableId="1139807983">
    <w:abstractNumId w:val="908"/>
  </w:num>
  <w:num w:numId="512" w16cid:durableId="381296640">
    <w:abstractNumId w:val="660"/>
  </w:num>
  <w:num w:numId="513" w16cid:durableId="1771200472">
    <w:abstractNumId w:val="976"/>
  </w:num>
  <w:num w:numId="514" w16cid:durableId="528028960">
    <w:abstractNumId w:val="866"/>
  </w:num>
  <w:num w:numId="515" w16cid:durableId="261768329">
    <w:abstractNumId w:val="2"/>
  </w:num>
  <w:num w:numId="516" w16cid:durableId="283660506">
    <w:abstractNumId w:val="736"/>
  </w:num>
  <w:num w:numId="517" w16cid:durableId="1964576333">
    <w:abstractNumId w:val="274"/>
  </w:num>
  <w:num w:numId="518" w16cid:durableId="1247493201">
    <w:abstractNumId w:val="404"/>
  </w:num>
  <w:num w:numId="519" w16cid:durableId="537547240">
    <w:abstractNumId w:val="561"/>
  </w:num>
  <w:num w:numId="520" w16cid:durableId="871305922">
    <w:abstractNumId w:val="954"/>
  </w:num>
  <w:num w:numId="521" w16cid:durableId="1148862682">
    <w:abstractNumId w:val="896"/>
  </w:num>
  <w:num w:numId="522" w16cid:durableId="633802068">
    <w:abstractNumId w:val="125"/>
  </w:num>
  <w:num w:numId="523" w16cid:durableId="132598164">
    <w:abstractNumId w:val="697"/>
  </w:num>
  <w:num w:numId="524" w16cid:durableId="49770122">
    <w:abstractNumId w:val="131"/>
  </w:num>
  <w:num w:numId="525" w16cid:durableId="33387205">
    <w:abstractNumId w:val="785"/>
  </w:num>
  <w:num w:numId="526" w16cid:durableId="1287925835">
    <w:abstractNumId w:val="772"/>
  </w:num>
  <w:num w:numId="527" w16cid:durableId="1953708491">
    <w:abstractNumId w:val="129"/>
  </w:num>
  <w:num w:numId="528" w16cid:durableId="1633822821">
    <w:abstractNumId w:val="115"/>
  </w:num>
  <w:num w:numId="529" w16cid:durableId="1403525143">
    <w:abstractNumId w:val="350"/>
  </w:num>
  <w:num w:numId="530" w16cid:durableId="1339843444">
    <w:abstractNumId w:val="628"/>
  </w:num>
  <w:num w:numId="531" w16cid:durableId="942810285">
    <w:abstractNumId w:val="705"/>
  </w:num>
  <w:num w:numId="532" w16cid:durableId="754478965">
    <w:abstractNumId w:val="243"/>
  </w:num>
  <w:num w:numId="533" w16cid:durableId="922448039">
    <w:abstractNumId w:val="869"/>
  </w:num>
  <w:num w:numId="534" w16cid:durableId="2068381954">
    <w:abstractNumId w:val="764"/>
  </w:num>
  <w:num w:numId="535" w16cid:durableId="1638217000">
    <w:abstractNumId w:val="1"/>
  </w:num>
  <w:num w:numId="536" w16cid:durableId="128666058">
    <w:abstractNumId w:val="477"/>
  </w:num>
  <w:num w:numId="537" w16cid:durableId="125203454">
    <w:abstractNumId w:val="147"/>
  </w:num>
  <w:num w:numId="538" w16cid:durableId="861018058">
    <w:abstractNumId w:val="891"/>
  </w:num>
  <w:num w:numId="539" w16cid:durableId="1752921279">
    <w:abstractNumId w:val="238"/>
  </w:num>
  <w:num w:numId="540" w16cid:durableId="70583013">
    <w:abstractNumId w:val="987"/>
  </w:num>
  <w:num w:numId="541" w16cid:durableId="1106581146">
    <w:abstractNumId w:val="708"/>
  </w:num>
  <w:num w:numId="542" w16cid:durableId="1090732344">
    <w:abstractNumId w:val="947"/>
  </w:num>
  <w:num w:numId="543" w16cid:durableId="875044333">
    <w:abstractNumId w:val="78"/>
  </w:num>
  <w:num w:numId="544" w16cid:durableId="1110003725">
    <w:abstractNumId w:val="15"/>
  </w:num>
  <w:num w:numId="545" w16cid:durableId="959920143">
    <w:abstractNumId w:val="1004"/>
  </w:num>
  <w:num w:numId="546" w16cid:durableId="1397358695">
    <w:abstractNumId w:val="913"/>
  </w:num>
  <w:num w:numId="547" w16cid:durableId="711340883">
    <w:abstractNumId w:val="635"/>
  </w:num>
  <w:num w:numId="548" w16cid:durableId="615866319">
    <w:abstractNumId w:val="220"/>
  </w:num>
  <w:num w:numId="549" w16cid:durableId="1433088982">
    <w:abstractNumId w:val="113"/>
  </w:num>
  <w:num w:numId="550" w16cid:durableId="1380084752">
    <w:abstractNumId w:val="574"/>
  </w:num>
  <w:num w:numId="551" w16cid:durableId="1664042457">
    <w:abstractNumId w:val="380"/>
  </w:num>
  <w:num w:numId="552" w16cid:durableId="1796219587">
    <w:abstractNumId w:val="466"/>
  </w:num>
  <w:num w:numId="553" w16cid:durableId="1094058848">
    <w:abstractNumId w:val="1005"/>
  </w:num>
  <w:num w:numId="554" w16cid:durableId="1003359951">
    <w:abstractNumId w:val="609"/>
  </w:num>
  <w:num w:numId="555" w16cid:durableId="1119492504">
    <w:abstractNumId w:val="877"/>
  </w:num>
  <w:num w:numId="556" w16cid:durableId="574512301">
    <w:abstractNumId w:val="6"/>
  </w:num>
  <w:num w:numId="557" w16cid:durableId="1724910121">
    <w:abstractNumId w:val="76"/>
  </w:num>
  <w:num w:numId="558" w16cid:durableId="140392569">
    <w:abstractNumId w:val="14"/>
  </w:num>
  <w:num w:numId="559" w16cid:durableId="1199271323">
    <w:abstractNumId w:val="56"/>
  </w:num>
  <w:num w:numId="560" w16cid:durableId="771242374">
    <w:abstractNumId w:val="323"/>
  </w:num>
  <w:num w:numId="561" w16cid:durableId="40329794">
    <w:abstractNumId w:val="930"/>
  </w:num>
  <w:num w:numId="562" w16cid:durableId="1216040945">
    <w:abstractNumId w:val="463"/>
  </w:num>
  <w:num w:numId="563" w16cid:durableId="512107058">
    <w:abstractNumId w:val="313"/>
  </w:num>
  <w:num w:numId="564" w16cid:durableId="575167179">
    <w:abstractNumId w:val="190"/>
  </w:num>
  <w:num w:numId="565" w16cid:durableId="1502575643">
    <w:abstractNumId w:val="443"/>
  </w:num>
  <w:num w:numId="566" w16cid:durableId="1551914716">
    <w:abstractNumId w:val="1006"/>
  </w:num>
  <w:num w:numId="567" w16cid:durableId="179200433">
    <w:abstractNumId w:val="215"/>
  </w:num>
  <w:num w:numId="568" w16cid:durableId="288052214">
    <w:abstractNumId w:val="681"/>
  </w:num>
  <w:num w:numId="569" w16cid:durableId="1384251772">
    <w:abstractNumId w:val="469"/>
  </w:num>
  <w:num w:numId="570" w16cid:durableId="831793754">
    <w:abstractNumId w:val="494"/>
  </w:num>
  <w:num w:numId="571" w16cid:durableId="1823349287">
    <w:abstractNumId w:val="847"/>
  </w:num>
  <w:num w:numId="572" w16cid:durableId="2017540158">
    <w:abstractNumId w:val="556"/>
  </w:num>
  <w:num w:numId="573" w16cid:durableId="1912887210">
    <w:abstractNumId w:val="377"/>
  </w:num>
  <w:num w:numId="574" w16cid:durableId="1480345518">
    <w:abstractNumId w:val="401"/>
  </w:num>
  <w:num w:numId="575" w16cid:durableId="575748318">
    <w:abstractNumId w:val="678"/>
  </w:num>
  <w:num w:numId="576" w16cid:durableId="1542404693">
    <w:abstractNumId w:val="383"/>
  </w:num>
  <w:num w:numId="577" w16cid:durableId="386035582">
    <w:abstractNumId w:val="651"/>
  </w:num>
  <w:num w:numId="578" w16cid:durableId="2056808413">
    <w:abstractNumId w:val="591"/>
  </w:num>
  <w:num w:numId="579" w16cid:durableId="1651522557">
    <w:abstractNumId w:val="740"/>
  </w:num>
  <w:num w:numId="580" w16cid:durableId="562912943">
    <w:abstractNumId w:val="398"/>
  </w:num>
  <w:num w:numId="581" w16cid:durableId="449325448">
    <w:abstractNumId w:val="892"/>
  </w:num>
  <w:num w:numId="582" w16cid:durableId="1865168553">
    <w:abstractNumId w:val="47"/>
  </w:num>
  <w:num w:numId="583" w16cid:durableId="823740830">
    <w:abstractNumId w:val="133"/>
  </w:num>
  <w:num w:numId="584" w16cid:durableId="2134203365">
    <w:abstractNumId w:val="741"/>
  </w:num>
  <w:num w:numId="585" w16cid:durableId="485436031">
    <w:abstractNumId w:val="248"/>
  </w:num>
  <w:num w:numId="586" w16cid:durableId="74908024">
    <w:abstractNumId w:val="874"/>
  </w:num>
  <w:num w:numId="587" w16cid:durableId="278686289">
    <w:abstractNumId w:val="738"/>
  </w:num>
  <w:num w:numId="588" w16cid:durableId="1873957098">
    <w:abstractNumId w:val="285"/>
  </w:num>
  <w:num w:numId="589" w16cid:durableId="1429503351">
    <w:abstractNumId w:val="966"/>
  </w:num>
  <w:num w:numId="590" w16cid:durableId="108404417">
    <w:abstractNumId w:val="5"/>
  </w:num>
  <w:num w:numId="591" w16cid:durableId="330105705">
    <w:abstractNumId w:val="484"/>
  </w:num>
  <w:num w:numId="592" w16cid:durableId="1994944006">
    <w:abstractNumId w:val="971"/>
  </w:num>
  <w:num w:numId="593" w16cid:durableId="707220362">
    <w:abstractNumId w:val="327"/>
  </w:num>
  <w:num w:numId="594" w16cid:durableId="168445744">
    <w:abstractNumId w:val="126"/>
  </w:num>
  <w:num w:numId="595" w16cid:durableId="1296444909">
    <w:abstractNumId w:val="677"/>
  </w:num>
  <w:num w:numId="596" w16cid:durableId="176236674">
    <w:abstractNumId w:val="803"/>
  </w:num>
  <w:num w:numId="597" w16cid:durableId="1324746893">
    <w:abstractNumId w:val="134"/>
  </w:num>
  <w:num w:numId="598" w16cid:durableId="1118719474">
    <w:abstractNumId w:val="40"/>
  </w:num>
  <w:num w:numId="599" w16cid:durableId="225991254">
    <w:abstractNumId w:val="90"/>
  </w:num>
  <w:num w:numId="600" w16cid:durableId="1806969033">
    <w:abstractNumId w:val="1032"/>
  </w:num>
  <w:num w:numId="601" w16cid:durableId="1542865201">
    <w:abstractNumId w:val="273"/>
  </w:num>
  <w:num w:numId="602" w16cid:durableId="823591320">
    <w:abstractNumId w:val="320"/>
  </w:num>
  <w:num w:numId="603" w16cid:durableId="1612083284">
    <w:abstractNumId w:val="728"/>
  </w:num>
  <w:num w:numId="604" w16cid:durableId="80613507">
    <w:abstractNumId w:val="455"/>
  </w:num>
  <w:num w:numId="605" w16cid:durableId="679433933">
    <w:abstractNumId w:val="354"/>
  </w:num>
  <w:num w:numId="606" w16cid:durableId="1068184379">
    <w:abstractNumId w:val="150"/>
  </w:num>
  <w:num w:numId="607" w16cid:durableId="442653447">
    <w:abstractNumId w:val="20"/>
  </w:num>
  <w:num w:numId="608" w16cid:durableId="1584299879">
    <w:abstractNumId w:val="330"/>
  </w:num>
  <w:num w:numId="609" w16cid:durableId="1921523604">
    <w:abstractNumId w:val="83"/>
  </w:num>
  <w:num w:numId="610" w16cid:durableId="887230075">
    <w:abstractNumId w:val="829"/>
  </w:num>
  <w:num w:numId="611" w16cid:durableId="696320551">
    <w:abstractNumId w:val="391"/>
  </w:num>
  <w:num w:numId="612" w16cid:durableId="1314139593">
    <w:abstractNumId w:val="703"/>
  </w:num>
  <w:num w:numId="613" w16cid:durableId="1032342766">
    <w:abstractNumId w:val="890"/>
  </w:num>
  <w:num w:numId="614" w16cid:durableId="384834264">
    <w:abstractNumId w:val="525"/>
  </w:num>
  <w:num w:numId="615" w16cid:durableId="24987762">
    <w:abstractNumId w:val="881"/>
  </w:num>
  <w:num w:numId="616" w16cid:durableId="170730701">
    <w:abstractNumId w:val="440"/>
  </w:num>
  <w:num w:numId="617" w16cid:durableId="331681343">
    <w:abstractNumId w:val="781"/>
  </w:num>
  <w:num w:numId="618" w16cid:durableId="869029749">
    <w:abstractNumId w:val="36"/>
  </w:num>
  <w:num w:numId="619" w16cid:durableId="1708530737">
    <w:abstractNumId w:val="385"/>
  </w:num>
  <w:num w:numId="620" w16cid:durableId="1287586187">
    <w:abstractNumId w:val="261"/>
  </w:num>
  <w:num w:numId="621" w16cid:durableId="1737586421">
    <w:abstractNumId w:val="289"/>
  </w:num>
  <w:num w:numId="622" w16cid:durableId="1426148774">
    <w:abstractNumId w:val="486"/>
  </w:num>
  <w:num w:numId="623" w16cid:durableId="836189719">
    <w:abstractNumId w:val="344"/>
  </w:num>
  <w:num w:numId="624" w16cid:durableId="952900932">
    <w:abstractNumId w:val="1013"/>
  </w:num>
  <w:num w:numId="625" w16cid:durableId="2017882029">
    <w:abstractNumId w:val="457"/>
  </w:num>
  <w:num w:numId="626" w16cid:durableId="451679290">
    <w:abstractNumId w:val="550"/>
  </w:num>
  <w:num w:numId="627" w16cid:durableId="711539106">
    <w:abstractNumId w:val="415"/>
  </w:num>
  <w:num w:numId="628" w16cid:durableId="1240093614">
    <w:abstractNumId w:val="169"/>
  </w:num>
  <w:num w:numId="629" w16cid:durableId="27797925">
    <w:abstractNumId w:val="357"/>
  </w:num>
  <w:num w:numId="630" w16cid:durableId="1678076099">
    <w:abstractNumId w:val="878"/>
  </w:num>
  <w:num w:numId="631" w16cid:durableId="1397433338">
    <w:abstractNumId w:val="408"/>
  </w:num>
  <w:num w:numId="632" w16cid:durableId="629286672">
    <w:abstractNumId w:val="893"/>
  </w:num>
  <w:num w:numId="633" w16cid:durableId="31157956">
    <w:abstractNumId w:val="414"/>
  </w:num>
  <w:num w:numId="634" w16cid:durableId="1459253885">
    <w:abstractNumId w:val="300"/>
  </w:num>
  <w:num w:numId="635" w16cid:durableId="961812504">
    <w:abstractNumId w:val="22"/>
  </w:num>
  <w:num w:numId="636" w16cid:durableId="965083578">
    <w:abstractNumId w:val="827"/>
  </w:num>
  <w:num w:numId="637" w16cid:durableId="1172986684">
    <w:abstractNumId w:val="488"/>
  </w:num>
  <w:num w:numId="638" w16cid:durableId="903371202">
    <w:abstractNumId w:val="303"/>
  </w:num>
  <w:num w:numId="639" w16cid:durableId="283316895">
    <w:abstractNumId w:val="962"/>
  </w:num>
  <w:num w:numId="640" w16cid:durableId="687878253">
    <w:abstractNumId w:val="378"/>
  </w:num>
  <w:num w:numId="641" w16cid:durableId="1768504881">
    <w:abstractNumId w:val="861"/>
  </w:num>
  <w:num w:numId="642" w16cid:durableId="696080282">
    <w:abstractNumId w:val="952"/>
  </w:num>
  <w:num w:numId="643" w16cid:durableId="126242520">
    <w:abstractNumId w:val="568"/>
  </w:num>
  <w:num w:numId="644" w16cid:durableId="1933005844">
    <w:abstractNumId w:val="770"/>
  </w:num>
  <w:num w:numId="645" w16cid:durableId="1218398506">
    <w:abstractNumId w:val="180"/>
  </w:num>
  <w:num w:numId="646" w16cid:durableId="1737894652">
    <w:abstractNumId w:val="22"/>
  </w:num>
  <w:num w:numId="647" w16cid:durableId="2043281675">
    <w:abstractNumId w:val="306"/>
  </w:num>
  <w:num w:numId="648" w16cid:durableId="1909147521">
    <w:abstractNumId w:val="22"/>
  </w:num>
  <w:num w:numId="649" w16cid:durableId="1160534579">
    <w:abstractNumId w:val="22"/>
  </w:num>
  <w:num w:numId="650" w16cid:durableId="678385548">
    <w:abstractNumId w:val="22"/>
  </w:num>
  <w:num w:numId="651" w16cid:durableId="36707010">
    <w:abstractNumId w:val="22"/>
  </w:num>
  <w:num w:numId="652" w16cid:durableId="431127453">
    <w:abstractNumId w:val="22"/>
  </w:num>
  <w:num w:numId="653" w16cid:durableId="1706981614">
    <w:abstractNumId w:val="22"/>
  </w:num>
  <w:num w:numId="654" w16cid:durableId="34931216">
    <w:abstractNumId w:val="22"/>
  </w:num>
  <w:num w:numId="655" w16cid:durableId="895625529">
    <w:abstractNumId w:val="22"/>
  </w:num>
  <w:num w:numId="656" w16cid:durableId="2115319693">
    <w:abstractNumId w:val="22"/>
  </w:num>
  <w:num w:numId="657" w16cid:durableId="688025029">
    <w:abstractNumId w:val="22"/>
  </w:num>
  <w:num w:numId="658" w16cid:durableId="1373730702">
    <w:abstractNumId w:val="22"/>
  </w:num>
  <w:num w:numId="659" w16cid:durableId="1381587602">
    <w:abstractNumId w:val="22"/>
  </w:num>
  <w:num w:numId="660" w16cid:durableId="808210110">
    <w:abstractNumId w:val="748"/>
  </w:num>
  <w:num w:numId="661" w16cid:durableId="347678691">
    <w:abstractNumId w:val="444"/>
  </w:num>
  <w:num w:numId="662" w16cid:durableId="1567229699">
    <w:abstractNumId w:val="467"/>
  </w:num>
  <w:num w:numId="663" w16cid:durableId="484666855">
    <w:abstractNumId w:val="433"/>
  </w:num>
  <w:num w:numId="664" w16cid:durableId="87624128">
    <w:abstractNumId w:val="718"/>
  </w:num>
  <w:num w:numId="665" w16cid:durableId="778379589">
    <w:abstractNumId w:val="872"/>
  </w:num>
  <w:num w:numId="666" w16cid:durableId="199319285">
    <w:abstractNumId w:val="796"/>
  </w:num>
  <w:num w:numId="667" w16cid:durableId="1333877310">
    <w:abstractNumId w:val="16"/>
  </w:num>
  <w:num w:numId="668" w16cid:durableId="1035497417">
    <w:abstractNumId w:val="281"/>
  </w:num>
  <w:num w:numId="669" w16cid:durableId="1199783661">
    <w:abstractNumId w:val="819"/>
  </w:num>
  <w:num w:numId="670" w16cid:durableId="1031609462">
    <w:abstractNumId w:val="331"/>
  </w:num>
  <w:num w:numId="671" w16cid:durableId="2017882758">
    <w:abstractNumId w:val="674"/>
  </w:num>
  <w:num w:numId="672" w16cid:durableId="1293947006">
    <w:abstractNumId w:val="637"/>
  </w:num>
  <w:num w:numId="673" w16cid:durableId="1930113890">
    <w:abstractNumId w:val="189"/>
  </w:num>
  <w:num w:numId="674" w16cid:durableId="569659582">
    <w:abstractNumId w:val="489"/>
  </w:num>
  <w:num w:numId="675" w16cid:durableId="65420498">
    <w:abstractNumId w:val="22"/>
  </w:num>
  <w:num w:numId="676" w16cid:durableId="730234074">
    <w:abstractNumId w:val="179"/>
  </w:num>
  <w:num w:numId="677" w16cid:durableId="1246376333">
    <w:abstractNumId w:val="22"/>
  </w:num>
  <w:num w:numId="678" w16cid:durableId="1397892823">
    <w:abstractNumId w:val="416"/>
  </w:num>
  <w:num w:numId="679" w16cid:durableId="1105266316">
    <w:abstractNumId w:val="192"/>
  </w:num>
  <w:num w:numId="680" w16cid:durableId="915171147">
    <w:abstractNumId w:val="839"/>
  </w:num>
  <w:num w:numId="681" w16cid:durableId="156657594">
    <w:abstractNumId w:val="804"/>
  </w:num>
  <w:num w:numId="682" w16cid:durableId="635917475">
    <w:abstractNumId w:val="384"/>
  </w:num>
  <w:num w:numId="683" w16cid:durableId="906693774">
    <w:abstractNumId w:val="232"/>
  </w:num>
  <w:num w:numId="684" w16cid:durableId="1160578595">
    <w:abstractNumId w:val="679"/>
  </w:num>
  <w:num w:numId="685" w16cid:durableId="1958171718">
    <w:abstractNumId w:val="907"/>
  </w:num>
  <w:num w:numId="686" w16cid:durableId="1692876359">
    <w:abstractNumId w:val="399"/>
  </w:num>
  <w:num w:numId="687" w16cid:durableId="862061383">
    <w:abstractNumId w:val="468"/>
  </w:num>
  <w:num w:numId="688" w16cid:durableId="1602301128">
    <w:abstractNumId w:val="687"/>
  </w:num>
  <w:num w:numId="689" w16cid:durableId="986129797">
    <w:abstractNumId w:val="815"/>
  </w:num>
  <w:num w:numId="690" w16cid:durableId="1627008090">
    <w:abstractNumId w:val="214"/>
  </w:num>
  <w:num w:numId="691" w16cid:durableId="759762948">
    <w:abstractNumId w:val="417"/>
  </w:num>
  <w:num w:numId="692" w16cid:durableId="783962114">
    <w:abstractNumId w:val="959"/>
  </w:num>
  <w:num w:numId="693" w16cid:durableId="291519671">
    <w:abstractNumId w:val="224"/>
  </w:num>
  <w:num w:numId="694" w16cid:durableId="928005940">
    <w:abstractNumId w:val="776"/>
  </w:num>
  <w:num w:numId="695" w16cid:durableId="1051929226">
    <w:abstractNumId w:val="988"/>
  </w:num>
  <w:num w:numId="696" w16cid:durableId="1964336943">
    <w:abstractNumId w:val="885"/>
  </w:num>
  <w:num w:numId="697" w16cid:durableId="1218708324">
    <w:abstractNumId w:val="513"/>
  </w:num>
  <w:num w:numId="698" w16cid:durableId="810904862">
    <w:abstractNumId w:val="390"/>
  </w:num>
  <w:num w:numId="699" w16cid:durableId="1943610360">
    <w:abstractNumId w:val="218"/>
  </w:num>
  <w:num w:numId="700" w16cid:durableId="372073458">
    <w:abstractNumId w:val="86"/>
  </w:num>
  <w:num w:numId="701" w16cid:durableId="270086855">
    <w:abstractNumId w:val="317"/>
  </w:num>
  <w:num w:numId="702" w16cid:durableId="1171331964">
    <w:abstractNumId w:val="382"/>
  </w:num>
  <w:num w:numId="703" w16cid:durableId="704913962">
    <w:abstractNumId w:val="272"/>
  </w:num>
  <w:num w:numId="704" w16cid:durableId="1650356679">
    <w:abstractNumId w:val="1009"/>
  </w:num>
  <w:num w:numId="705" w16cid:durableId="821435451">
    <w:abstractNumId w:val="508"/>
  </w:num>
  <w:num w:numId="706" w16cid:durableId="939752865">
    <w:abstractNumId w:val="161"/>
  </w:num>
  <w:num w:numId="707" w16cid:durableId="1611545463">
    <w:abstractNumId w:val="762"/>
  </w:num>
  <w:num w:numId="708" w16cid:durableId="692920153">
    <w:abstractNumId w:val="917"/>
  </w:num>
  <w:num w:numId="709" w16cid:durableId="1242763658">
    <w:abstractNumId w:val="153"/>
  </w:num>
  <w:num w:numId="710" w16cid:durableId="305091193">
    <w:abstractNumId w:val="573"/>
  </w:num>
  <w:num w:numId="711" w16cid:durableId="846747616">
    <w:abstractNumId w:val="1001"/>
  </w:num>
  <w:num w:numId="712" w16cid:durableId="2011250155">
    <w:abstractNumId w:val="305"/>
  </w:num>
  <w:num w:numId="713" w16cid:durableId="417219778">
    <w:abstractNumId w:val="18"/>
  </w:num>
  <w:num w:numId="714" w16cid:durableId="1679312658">
    <w:abstractNumId w:val="332"/>
  </w:num>
  <w:num w:numId="715" w16cid:durableId="1182207986">
    <w:abstractNumId w:val="250"/>
  </w:num>
  <w:num w:numId="716" w16cid:durableId="1641836625">
    <w:abstractNumId w:val="85"/>
  </w:num>
  <w:num w:numId="717" w16cid:durableId="322319678">
    <w:abstractNumId w:val="253"/>
  </w:num>
  <w:num w:numId="718" w16cid:durableId="1121612214">
    <w:abstractNumId w:val="290"/>
  </w:num>
  <w:num w:numId="719" w16cid:durableId="526021267">
    <w:abstractNumId w:val="773"/>
  </w:num>
  <w:num w:numId="720" w16cid:durableId="1276331716">
    <w:abstractNumId w:val="553"/>
  </w:num>
  <w:num w:numId="721" w16cid:durableId="75321656">
    <w:abstractNumId w:val="122"/>
  </w:num>
  <w:num w:numId="722" w16cid:durableId="597523419">
    <w:abstractNumId w:val="80"/>
  </w:num>
  <w:num w:numId="723" w16cid:durableId="1591769309">
    <w:abstractNumId w:val="760"/>
  </w:num>
  <w:num w:numId="724" w16cid:durableId="98185813">
    <w:abstractNumId w:val="258"/>
  </w:num>
  <w:num w:numId="725" w16cid:durableId="668291651">
    <w:abstractNumId w:val="269"/>
  </w:num>
  <w:num w:numId="726" w16cid:durableId="640384380">
    <w:abstractNumId w:val="514"/>
  </w:num>
  <w:num w:numId="727" w16cid:durableId="1572497471">
    <w:abstractNumId w:val="221"/>
  </w:num>
  <w:num w:numId="728" w16cid:durableId="2102137011">
    <w:abstractNumId w:val="672"/>
  </w:num>
  <w:num w:numId="729" w16cid:durableId="1558274585">
    <w:abstractNumId w:val="802"/>
  </w:num>
  <w:num w:numId="730" w16cid:durableId="477381172">
    <w:abstractNumId w:val="50"/>
  </w:num>
  <w:num w:numId="731" w16cid:durableId="1305549049">
    <w:abstractNumId w:val="116"/>
  </w:num>
  <w:num w:numId="732" w16cid:durableId="870652130">
    <w:abstractNumId w:val="325"/>
  </w:num>
  <w:num w:numId="733" w16cid:durableId="1307323243">
    <w:abstractNumId w:val="603"/>
  </w:num>
  <w:num w:numId="734" w16cid:durableId="1807696469">
    <w:abstractNumId w:val="228"/>
  </w:num>
  <w:num w:numId="735" w16cid:durableId="2111928278">
    <w:abstractNumId w:val="389"/>
  </w:num>
  <w:num w:numId="736" w16cid:durableId="390541546">
    <w:abstractNumId w:val="721"/>
  </w:num>
  <w:num w:numId="737" w16cid:durableId="1021317701">
    <w:abstractNumId w:val="793"/>
  </w:num>
  <w:num w:numId="738" w16cid:durableId="304235670">
    <w:abstractNumId w:val="757"/>
  </w:num>
  <w:num w:numId="739" w16cid:durableId="1848401198">
    <w:abstractNumId w:val="207"/>
  </w:num>
  <w:num w:numId="740" w16cid:durableId="2136831993">
    <w:abstractNumId w:val="454"/>
  </w:num>
  <w:num w:numId="741" w16cid:durableId="1411922707">
    <w:abstractNumId w:val="933"/>
  </w:num>
  <w:num w:numId="742" w16cid:durableId="352460709">
    <w:abstractNumId w:val="37"/>
  </w:num>
  <w:num w:numId="743" w16cid:durableId="920598304">
    <w:abstractNumId w:val="227"/>
  </w:num>
  <w:num w:numId="744" w16cid:durableId="2048722205">
    <w:abstractNumId w:val="684"/>
  </w:num>
  <w:num w:numId="745" w16cid:durableId="2020698365">
    <w:abstractNumId w:val="756"/>
  </w:num>
  <w:num w:numId="746" w16cid:durableId="144207225">
    <w:abstractNumId w:val="478"/>
  </w:num>
  <w:num w:numId="747" w16cid:durableId="411700644">
    <w:abstractNumId w:val="938"/>
  </w:num>
  <w:num w:numId="748" w16cid:durableId="1996258990">
    <w:abstractNumId w:val="336"/>
  </w:num>
  <w:num w:numId="749" w16cid:durableId="689330293">
    <w:abstractNumId w:val="17"/>
  </w:num>
  <w:num w:numId="750" w16cid:durableId="1536890111">
    <w:abstractNumId w:val="982"/>
  </w:num>
  <w:num w:numId="751" w16cid:durableId="785001998">
    <w:abstractNumId w:val="606"/>
  </w:num>
  <w:num w:numId="752" w16cid:durableId="2056847894">
    <w:abstractNumId w:val="49"/>
  </w:num>
  <w:num w:numId="753" w16cid:durableId="791552778">
    <w:abstractNumId w:val="82"/>
  </w:num>
  <w:num w:numId="754" w16cid:durableId="2016111754">
    <w:abstractNumId w:val="518"/>
  </w:num>
  <w:num w:numId="755" w16cid:durableId="1212226767">
    <w:abstractNumId w:val="597"/>
  </w:num>
  <w:num w:numId="756" w16cid:durableId="1605722599">
    <w:abstractNumId w:val="322"/>
  </w:num>
  <w:num w:numId="757" w16cid:durableId="1000237351">
    <w:abstractNumId w:val="35"/>
  </w:num>
  <w:num w:numId="758" w16cid:durableId="1517307990">
    <w:abstractNumId w:val="65"/>
  </w:num>
  <w:num w:numId="759" w16cid:durableId="1375303770">
    <w:abstractNumId w:val="57"/>
  </w:num>
  <w:num w:numId="760" w16cid:durableId="1911454618">
    <w:abstractNumId w:val="140"/>
  </w:num>
  <w:num w:numId="761" w16cid:durableId="459495238">
    <w:abstractNumId w:val="364"/>
  </w:num>
  <w:num w:numId="762" w16cid:durableId="1394158559">
    <w:abstractNumId w:val="174"/>
  </w:num>
  <w:num w:numId="763" w16cid:durableId="1013648043">
    <w:abstractNumId w:val="626"/>
  </w:num>
  <w:num w:numId="764" w16cid:durableId="1922525538">
    <w:abstractNumId w:val="970"/>
  </w:num>
  <w:num w:numId="765" w16cid:durableId="735858967">
    <w:abstractNumId w:val="789"/>
  </w:num>
  <w:num w:numId="766" w16cid:durableId="354699194">
    <w:abstractNumId w:val="693"/>
  </w:num>
  <w:num w:numId="767" w16cid:durableId="1917282524">
    <w:abstractNumId w:val="222"/>
  </w:num>
  <w:num w:numId="768" w16cid:durableId="2108117090">
    <w:abstractNumId w:val="579"/>
  </w:num>
  <w:num w:numId="769" w16cid:durableId="398018017">
    <w:abstractNumId w:val="73"/>
  </w:num>
  <w:num w:numId="770" w16cid:durableId="2082361914">
    <w:abstractNumId w:val="849"/>
  </w:num>
  <w:num w:numId="771" w16cid:durableId="1093090338">
    <w:abstractNumId w:val="814"/>
  </w:num>
  <w:num w:numId="772" w16cid:durableId="519396270">
    <w:abstractNumId w:val="284"/>
  </w:num>
  <w:num w:numId="773" w16cid:durableId="1619753141">
    <w:abstractNumId w:val="235"/>
  </w:num>
  <w:num w:numId="774" w16cid:durableId="413819192">
    <w:abstractNumId w:val="460"/>
  </w:num>
  <w:num w:numId="775" w16cid:durableId="1653289632">
    <w:abstractNumId w:val="715"/>
  </w:num>
  <w:num w:numId="776" w16cid:durableId="1587223857">
    <w:abstractNumId w:val="956"/>
  </w:num>
  <w:num w:numId="777" w16cid:durableId="321277809">
    <w:abstractNumId w:val="659"/>
  </w:num>
  <w:num w:numId="778" w16cid:durableId="1771971180">
    <w:abstractNumId w:val="534"/>
  </w:num>
  <w:num w:numId="779" w16cid:durableId="1356494899">
    <w:abstractNumId w:val="860"/>
  </w:num>
  <w:num w:numId="780" w16cid:durableId="177543551">
    <w:abstractNumId w:val="883"/>
  </w:num>
  <w:num w:numId="781" w16cid:durableId="1452826027">
    <w:abstractNumId w:val="612"/>
  </w:num>
  <w:num w:numId="782" w16cid:durableId="924533630">
    <w:abstractNumId w:val="449"/>
  </w:num>
  <w:num w:numId="783" w16cid:durableId="45104147">
    <w:abstractNumId w:val="685"/>
  </w:num>
  <w:num w:numId="784" w16cid:durableId="1493326514">
    <w:abstractNumId w:val="241"/>
  </w:num>
  <w:num w:numId="785" w16cid:durableId="987052885">
    <w:abstractNumId w:val="38"/>
  </w:num>
  <w:num w:numId="786" w16cid:durableId="2123455889">
    <w:abstractNumId w:val="225"/>
  </w:num>
  <w:num w:numId="787" w16cid:durableId="1029911845">
    <w:abstractNumId w:val="587"/>
  </w:num>
  <w:num w:numId="788" w16cid:durableId="428628191">
    <w:abstractNumId w:val="242"/>
  </w:num>
  <w:num w:numId="789" w16cid:durableId="1023483394">
    <w:abstractNumId w:val="476"/>
  </w:num>
  <w:num w:numId="790" w16cid:durableId="1999261326">
    <w:abstractNumId w:val="349"/>
  </w:num>
  <w:num w:numId="791" w16cid:durableId="1694575975">
    <w:abstractNumId w:val="729"/>
  </w:num>
  <w:num w:numId="792" w16cid:durableId="392703537">
    <w:abstractNumId w:val="884"/>
  </w:num>
  <w:num w:numId="793" w16cid:durableId="1478957914">
    <w:abstractNumId w:val="394"/>
  </w:num>
  <w:num w:numId="794" w16cid:durableId="297104607">
    <w:abstractNumId w:val="397"/>
  </w:num>
  <w:num w:numId="795" w16cid:durableId="1367489830">
    <w:abstractNumId w:val="978"/>
  </w:num>
  <w:num w:numId="796" w16cid:durableId="575478658">
    <w:abstractNumId w:val="164"/>
  </w:num>
  <w:num w:numId="797" w16cid:durableId="1912501513">
    <w:abstractNumId w:val="894"/>
  </w:num>
  <w:num w:numId="798" w16cid:durableId="1038090924">
    <w:abstractNumId w:val="745"/>
  </w:num>
  <w:num w:numId="799" w16cid:durableId="906300109">
    <w:abstractNumId w:val="627"/>
  </w:num>
  <w:num w:numId="800" w16cid:durableId="102699334">
    <w:abstractNumId w:val="498"/>
  </w:num>
  <w:num w:numId="801" w16cid:durableId="1510482605">
    <w:abstractNumId w:val="638"/>
  </w:num>
  <w:num w:numId="802" w16cid:durableId="2021737549">
    <w:abstractNumId w:val="934"/>
  </w:num>
  <w:num w:numId="803" w16cid:durableId="189803708">
    <w:abstractNumId w:val="143"/>
  </w:num>
  <w:num w:numId="804" w16cid:durableId="1565141107">
    <w:abstractNumId w:val="156"/>
  </w:num>
  <w:num w:numId="805" w16cid:durableId="1899898576">
    <w:abstractNumId w:val="316"/>
  </w:num>
  <w:num w:numId="806" w16cid:durableId="938294578">
    <w:abstractNumId w:val="551"/>
  </w:num>
  <w:num w:numId="807" w16cid:durableId="1618215795">
    <w:abstractNumId w:val="428"/>
  </w:num>
  <w:num w:numId="808" w16cid:durableId="2139760477">
    <w:abstractNumId w:val="752"/>
  </w:num>
  <w:num w:numId="809" w16cid:durableId="1249147708">
    <w:abstractNumId w:val="589"/>
  </w:num>
  <w:num w:numId="810" w16cid:durableId="54013743">
    <w:abstractNumId w:val="480"/>
  </w:num>
  <w:num w:numId="811" w16cid:durableId="1502160722">
    <w:abstractNumId w:val="695"/>
  </w:num>
  <w:num w:numId="812" w16cid:durableId="817572380">
    <w:abstractNumId w:val="70"/>
  </w:num>
  <w:num w:numId="813" w16cid:durableId="481851331">
    <w:abstractNumId w:val="283"/>
  </w:num>
  <w:num w:numId="814" w16cid:durableId="1186290017">
    <w:abstractNumId w:val="72"/>
  </w:num>
  <w:num w:numId="815" w16cid:durableId="486289702">
    <w:abstractNumId w:val="295"/>
  </w:num>
  <w:num w:numId="816" w16cid:durableId="1146899548">
    <w:abstractNumId w:val="725"/>
  </w:num>
  <w:num w:numId="817" w16cid:durableId="553857437">
    <w:abstractNumId w:val="963"/>
  </w:num>
  <w:num w:numId="818" w16cid:durableId="498666183">
    <w:abstractNumId w:val="948"/>
  </w:num>
  <w:num w:numId="819" w16cid:durableId="599677759">
    <w:abstractNumId w:val="328"/>
  </w:num>
  <w:num w:numId="820" w16cid:durableId="1168011107">
    <w:abstractNumId w:val="571"/>
  </w:num>
  <w:num w:numId="821" w16cid:durableId="1008365856">
    <w:abstractNumId w:val="411"/>
  </w:num>
  <w:num w:numId="822" w16cid:durableId="1712682720">
    <w:abstractNumId w:val="645"/>
  </w:num>
  <w:num w:numId="823" w16cid:durableId="1161391992">
    <w:abstractNumId w:val="196"/>
  </w:num>
  <w:num w:numId="824" w16cid:durableId="1506435783">
    <w:abstractNumId w:val="792"/>
  </w:num>
  <w:num w:numId="825" w16cid:durableId="1873571029">
    <w:abstractNumId w:val="549"/>
  </w:num>
  <w:num w:numId="826" w16cid:durableId="2079787411">
    <w:abstractNumId w:val="516"/>
  </w:num>
  <w:num w:numId="827" w16cid:durableId="497307855">
    <w:abstractNumId w:val="100"/>
  </w:num>
  <w:num w:numId="828" w16cid:durableId="869609723">
    <w:abstractNumId w:val="233"/>
  </w:num>
  <w:num w:numId="829" w16cid:durableId="2080322656">
    <w:abstractNumId w:val="77"/>
  </w:num>
  <w:num w:numId="830" w16cid:durableId="822967901">
    <w:abstractNumId w:val="420"/>
  </w:num>
  <w:num w:numId="831" w16cid:durableId="1436363684">
    <w:abstractNumId w:val="656"/>
  </w:num>
  <w:num w:numId="832" w16cid:durableId="2058434978">
    <w:abstractNumId w:val="766"/>
  </w:num>
  <w:num w:numId="833" w16cid:durableId="965312488">
    <w:abstractNumId w:val="217"/>
  </w:num>
  <w:num w:numId="834" w16cid:durableId="1631126652">
    <w:abstractNumId w:val="203"/>
  </w:num>
  <w:num w:numId="835" w16cid:durableId="417530796">
    <w:abstractNumId w:val="941"/>
  </w:num>
  <w:num w:numId="836" w16cid:durableId="742722394">
    <w:abstractNumId w:val="621"/>
  </w:num>
  <w:num w:numId="837" w16cid:durableId="1968008871">
    <w:abstractNumId w:val="696"/>
  </w:num>
  <w:num w:numId="838" w16cid:durableId="1768386906">
    <w:abstractNumId w:val="501"/>
  </w:num>
  <w:num w:numId="839" w16cid:durableId="1574001924">
    <w:abstractNumId w:val="292"/>
  </w:num>
  <w:num w:numId="840" w16cid:durableId="751898792">
    <w:abstractNumId w:val="608"/>
  </w:num>
  <w:num w:numId="841" w16cid:durableId="1620139780">
    <w:abstractNumId w:val="29"/>
  </w:num>
  <w:num w:numId="842" w16cid:durableId="2019110743">
    <w:abstractNumId w:val="114"/>
  </w:num>
  <w:num w:numId="843" w16cid:durableId="896747468">
    <w:abstractNumId w:val="812"/>
  </w:num>
  <w:num w:numId="844" w16cid:durableId="2038194151">
    <w:abstractNumId w:val="98"/>
  </w:num>
  <w:num w:numId="845" w16cid:durableId="1370182791">
    <w:abstractNumId w:val="372"/>
  </w:num>
  <w:num w:numId="846" w16cid:durableId="1588929195">
    <w:abstractNumId w:val="255"/>
  </w:num>
  <w:num w:numId="847" w16cid:durableId="1337807096">
    <w:abstractNumId w:val="537"/>
  </w:num>
  <w:num w:numId="848" w16cid:durableId="221332121">
    <w:abstractNumId w:val="735"/>
  </w:num>
  <w:num w:numId="849" w16cid:durableId="1047686934">
    <w:abstractNumId w:val="510"/>
  </w:num>
  <w:num w:numId="850" w16cid:durableId="1347250385">
    <w:abstractNumId w:val="859"/>
  </w:num>
  <w:num w:numId="851" w16cid:durableId="1201938810">
    <w:abstractNumId w:val="994"/>
  </w:num>
  <w:num w:numId="852" w16cid:durableId="616448692">
    <w:abstractNumId w:val="732"/>
  </w:num>
  <w:num w:numId="853" w16cid:durableId="1205173645">
    <w:abstractNumId w:val="371"/>
    <w:lvlOverride w:ilvl="0">
      <w:startOverride w:val="1"/>
    </w:lvlOverride>
  </w:num>
  <w:num w:numId="854" w16cid:durableId="922296597">
    <w:abstractNumId w:val="441"/>
  </w:num>
  <w:num w:numId="855" w16cid:durableId="1306279369">
    <w:abstractNumId w:val="439"/>
  </w:num>
  <w:num w:numId="856" w16cid:durableId="2056541942">
    <w:abstractNumId w:val="363"/>
  </w:num>
  <w:num w:numId="857" w16cid:durableId="260378610">
    <w:abstractNumId w:val="744"/>
  </w:num>
  <w:num w:numId="858" w16cid:durableId="1200435856">
    <w:abstractNumId w:val="135"/>
  </w:num>
  <w:num w:numId="859" w16cid:durableId="606623040">
    <w:abstractNumId w:val="1003"/>
  </w:num>
  <w:num w:numId="860" w16cid:durableId="170798326">
    <w:abstractNumId w:val="945"/>
  </w:num>
  <w:num w:numId="861" w16cid:durableId="449935213">
    <w:abstractNumId w:val="39"/>
  </w:num>
  <w:num w:numId="862" w16cid:durableId="1377007312">
    <w:abstractNumId w:val="499"/>
  </w:num>
  <w:num w:numId="863" w16cid:durableId="1859347887">
    <w:abstractNumId w:val="184"/>
  </w:num>
  <w:num w:numId="864" w16cid:durableId="671185229">
    <w:abstractNumId w:val="110"/>
  </w:num>
  <w:num w:numId="865" w16cid:durableId="1543863824">
    <w:abstractNumId w:val="800"/>
  </w:num>
  <w:num w:numId="866" w16cid:durableId="1585188290">
    <w:abstractNumId w:val="992"/>
  </w:num>
  <w:num w:numId="867" w16cid:durableId="727799566">
    <w:abstractNumId w:val="822"/>
  </w:num>
  <w:num w:numId="868" w16cid:durableId="1874733333">
    <w:abstractNumId w:val="790"/>
  </w:num>
  <w:num w:numId="869" w16cid:durableId="521744237">
    <w:abstractNumId w:val="753"/>
  </w:num>
  <w:num w:numId="870" w16cid:durableId="252054444">
    <w:abstractNumId w:val="201"/>
  </w:num>
  <w:num w:numId="871" w16cid:durableId="1706170863">
    <w:abstractNumId w:val="920"/>
  </w:num>
  <w:num w:numId="872" w16cid:durableId="2124154857">
    <w:abstractNumId w:val="916"/>
  </w:num>
  <w:num w:numId="873" w16cid:durableId="208957838">
    <w:abstractNumId w:val="286"/>
  </w:num>
  <w:num w:numId="874" w16cid:durableId="2081560138">
    <w:abstractNumId w:val="41"/>
  </w:num>
  <w:num w:numId="875" w16cid:durableId="1520704098">
    <w:abstractNumId w:val="842"/>
  </w:num>
  <w:num w:numId="876" w16cid:durableId="203640022">
    <w:abstractNumId w:val="464"/>
  </w:num>
  <w:num w:numId="877" w16cid:durableId="1559852154">
    <w:abstractNumId w:val="277"/>
  </w:num>
  <w:num w:numId="878" w16cid:durableId="336426481">
    <w:abstractNumId w:val="351"/>
  </w:num>
  <w:num w:numId="879" w16cid:durableId="2011828548">
    <w:abstractNumId w:val="396"/>
  </w:num>
  <w:num w:numId="880" w16cid:durableId="642660899">
    <w:abstractNumId w:val="602"/>
  </w:num>
  <w:num w:numId="881" w16cid:durableId="1981878125">
    <w:abstractNumId w:val="448"/>
  </w:num>
  <w:num w:numId="882" w16cid:durableId="835151814">
    <w:abstractNumId w:val="278"/>
  </w:num>
  <w:num w:numId="883" w16cid:durableId="108859928">
    <w:abstractNumId w:val="686"/>
  </w:num>
  <w:num w:numId="884" w16cid:durableId="1358313604">
    <w:abstractNumId w:val="112"/>
  </w:num>
  <w:num w:numId="885" w16cid:durableId="1287201482">
    <w:abstractNumId w:val="731"/>
  </w:num>
  <w:num w:numId="886" w16cid:durableId="356346639">
    <w:abstractNumId w:val="280"/>
  </w:num>
  <w:num w:numId="887" w16cid:durableId="2074083420">
    <w:abstractNumId w:val="425"/>
  </w:num>
  <w:num w:numId="888" w16cid:durableId="464352464">
    <w:abstractNumId w:val="132"/>
  </w:num>
  <w:num w:numId="889" w16cid:durableId="313294539">
    <w:abstractNumId w:val="267"/>
  </w:num>
  <w:num w:numId="890" w16cid:durableId="1847013554">
    <w:abstractNumId w:val="68"/>
  </w:num>
  <w:num w:numId="891" w16cid:durableId="947926404">
    <w:abstractNumId w:val="576"/>
  </w:num>
  <w:num w:numId="892" w16cid:durableId="94181434">
    <w:abstractNumId w:val="287"/>
  </w:num>
  <w:num w:numId="893" w16cid:durableId="732503132">
    <w:abstractNumId w:val="32"/>
  </w:num>
  <w:num w:numId="894" w16cid:durableId="1379477704">
    <w:abstractNumId w:val="889"/>
  </w:num>
  <w:num w:numId="895" w16cid:durableId="619411775">
    <w:abstractNumId w:val="55"/>
  </w:num>
  <w:num w:numId="896" w16cid:durableId="1033263110">
    <w:abstractNumId w:val="737"/>
  </w:num>
  <w:num w:numId="897" w16cid:durableId="463038816">
    <w:abstractNumId w:val="268"/>
  </w:num>
  <w:num w:numId="898" w16cid:durableId="1763648599">
    <w:abstractNumId w:val="634"/>
  </w:num>
  <w:num w:numId="899" w16cid:durableId="549607632">
    <w:abstractNumId w:val="918"/>
  </w:num>
  <w:num w:numId="900" w16cid:durableId="1035351576">
    <w:abstractNumId w:val="282"/>
  </w:num>
  <w:num w:numId="901" w16cid:durableId="374937898">
    <w:abstractNumId w:val="639"/>
  </w:num>
  <w:num w:numId="902" w16cid:durableId="513038611">
    <w:abstractNumId w:val="182"/>
  </w:num>
  <w:num w:numId="903" w16cid:durableId="920874594">
    <w:abstractNumId w:val="75"/>
  </w:num>
  <w:num w:numId="904" w16cid:durableId="1062797865">
    <w:abstractNumId w:val="437"/>
  </w:num>
  <w:num w:numId="905" w16cid:durableId="1081022380">
    <w:abstractNumId w:val="491"/>
  </w:num>
  <w:num w:numId="906" w16cid:durableId="1598176211">
    <w:abstractNumId w:val="127"/>
  </w:num>
  <w:num w:numId="907" w16cid:durableId="361129912">
    <w:abstractNumId w:val="159"/>
  </w:num>
  <w:num w:numId="908" w16cid:durableId="391318684">
    <w:abstractNumId w:val="622"/>
  </w:num>
  <w:num w:numId="909" w16cid:durableId="559631513">
    <w:abstractNumId w:val="670"/>
  </w:num>
  <w:num w:numId="910" w16cid:durableId="2103410553">
    <w:abstractNumId w:val="746"/>
  </w:num>
  <w:num w:numId="911" w16cid:durableId="1268997871">
    <w:abstractNumId w:val="856"/>
  </w:num>
  <w:num w:numId="912" w16cid:durableId="239599887">
    <w:abstractNumId w:val="955"/>
  </w:num>
  <w:num w:numId="913" w16cid:durableId="1009143934">
    <w:abstractNumId w:val="4"/>
  </w:num>
  <w:num w:numId="914" w16cid:durableId="448743781">
    <w:abstractNumId w:val="366"/>
  </w:num>
  <w:num w:numId="915" w16cid:durableId="2099520879">
    <w:abstractNumId w:val="543"/>
  </w:num>
  <w:num w:numId="916" w16cid:durableId="1026444625">
    <w:abstractNumId w:val="882"/>
  </w:num>
  <w:num w:numId="917" w16cid:durableId="598949787">
    <w:abstractNumId w:val="124"/>
  </w:num>
  <w:num w:numId="918" w16cid:durableId="1768110385">
    <w:abstractNumId w:val="584"/>
  </w:num>
  <w:num w:numId="919" w16cid:durableId="1584951156">
    <w:abstractNumId w:val="875"/>
  </w:num>
  <w:num w:numId="920" w16cid:durableId="94400534">
    <w:abstractNumId w:val="263"/>
  </w:num>
  <w:num w:numId="921" w16cid:durableId="2122844060">
    <w:abstractNumId w:val="294"/>
  </w:num>
  <w:num w:numId="922" w16cid:durableId="25253575">
    <w:abstractNumId w:val="296"/>
  </w:num>
  <w:num w:numId="923" w16cid:durableId="460727905">
    <w:abstractNumId w:val="119"/>
  </w:num>
  <w:num w:numId="924" w16cid:durableId="894707096">
    <w:abstractNumId w:val="392"/>
  </w:num>
  <w:num w:numId="925" w16cid:durableId="699669611">
    <w:abstractNumId w:val="187"/>
  </w:num>
  <w:num w:numId="926" w16cid:durableId="943070744">
    <w:abstractNumId w:val="833"/>
  </w:num>
  <w:num w:numId="927" w16cid:durableId="1418017827">
    <w:abstractNumId w:val="492"/>
  </w:num>
  <w:num w:numId="928" w16cid:durableId="175779218">
    <w:abstractNumId w:val="421"/>
  </w:num>
  <w:num w:numId="929" w16cid:durableId="526530222">
    <w:abstractNumId w:val="949"/>
  </w:num>
  <w:num w:numId="930" w16cid:durableId="2076395824">
    <w:abstractNumId w:val="843"/>
  </w:num>
  <w:num w:numId="931" w16cid:durableId="1413311940">
    <w:abstractNumId w:val="265"/>
  </w:num>
  <w:num w:numId="932" w16cid:durableId="362946375">
    <w:abstractNumId w:val="719"/>
  </w:num>
  <w:num w:numId="933" w16cid:durableId="532839637">
    <w:abstractNumId w:val="921"/>
  </w:num>
  <w:num w:numId="934" w16cid:durableId="1613631627">
    <w:abstractNumId w:val="783"/>
  </w:num>
  <w:num w:numId="935" w16cid:durableId="1619071091">
    <w:abstractNumId w:val="365"/>
  </w:num>
  <w:num w:numId="936" w16cid:durableId="761339359">
    <w:abstractNumId w:val="583"/>
  </w:num>
  <w:num w:numId="937" w16cid:durableId="2116633309">
    <w:abstractNumId w:val="1023"/>
  </w:num>
  <w:num w:numId="938" w16cid:durableId="1223367143">
    <w:abstractNumId w:val="403"/>
  </w:num>
  <w:num w:numId="939" w16cid:durableId="1581327180">
    <w:abstractNumId w:val="611"/>
  </w:num>
  <w:num w:numId="940" w16cid:durableId="417872692">
    <w:abstractNumId w:val="926"/>
  </w:num>
  <w:num w:numId="941" w16cid:durableId="116418126">
    <w:abstractNumId w:val="309"/>
  </w:num>
  <w:num w:numId="942" w16cid:durableId="1339842147">
    <w:abstractNumId w:val="601"/>
  </w:num>
  <w:num w:numId="943" w16cid:durableId="117719700">
    <w:abstractNumId w:val="459"/>
  </w:num>
  <w:num w:numId="944" w16cid:durableId="917329292">
    <w:abstractNumId w:val="599"/>
  </w:num>
  <w:num w:numId="945" w16cid:durableId="248270009">
    <w:abstractNumId w:val="712"/>
  </w:num>
  <w:num w:numId="946" w16cid:durableId="1116951422">
    <w:abstractNumId w:val="376"/>
  </w:num>
  <w:num w:numId="947" w16cid:durableId="1827165108">
    <w:abstractNumId w:val="724"/>
  </w:num>
  <w:num w:numId="948" w16cid:durableId="897664369">
    <w:abstractNumId w:val="1024"/>
  </w:num>
  <w:num w:numId="949" w16cid:durableId="761803475">
    <w:abstractNumId w:val="48"/>
  </w:num>
  <w:num w:numId="950" w16cid:durableId="1695106926">
    <w:abstractNumId w:val="109"/>
  </w:num>
  <w:num w:numId="951" w16cid:durableId="1509246995">
    <w:abstractNumId w:val="989"/>
  </w:num>
  <w:num w:numId="952" w16cid:durableId="1841895011">
    <w:abstractNumId w:val="54"/>
  </w:num>
  <w:num w:numId="953" w16cid:durableId="1424646141">
    <w:abstractNumId w:val="97"/>
  </w:num>
  <w:num w:numId="954" w16cid:durableId="236402689">
    <w:abstractNumId w:val="168"/>
  </w:num>
  <w:num w:numId="955" w16cid:durableId="118376079">
    <w:abstractNumId w:val="548"/>
  </w:num>
  <w:num w:numId="956" w16cid:durableId="13851991">
    <w:abstractNumId w:val="205"/>
  </w:num>
  <w:num w:numId="957" w16cid:durableId="1864241500">
    <w:abstractNumId w:val="191"/>
  </w:num>
  <w:num w:numId="958" w16cid:durableId="189804790">
    <w:abstractNumId w:val="472"/>
  </w:num>
  <w:num w:numId="959" w16cid:durableId="1845322957">
    <w:abstractNumId w:val="312"/>
  </w:num>
  <w:num w:numId="960" w16cid:durableId="1824882590">
    <w:abstractNumId w:val="200"/>
  </w:num>
  <w:num w:numId="961" w16cid:durableId="92751219">
    <w:abstractNumId w:val="545"/>
  </w:num>
  <w:num w:numId="962" w16cid:durableId="902332123">
    <w:abstractNumId w:val="811"/>
  </w:num>
  <w:num w:numId="963" w16cid:durableId="1977753325">
    <w:abstractNumId w:val="393"/>
  </w:num>
  <w:num w:numId="964" w16cid:durableId="1836796095">
    <w:abstractNumId w:val="338"/>
  </w:num>
  <w:num w:numId="965" w16cid:durableId="529534202">
    <w:abstractNumId w:val="22"/>
  </w:num>
  <w:num w:numId="966" w16cid:durableId="746222483">
    <w:abstractNumId w:val="22"/>
  </w:num>
  <w:num w:numId="967" w16cid:durableId="705757914">
    <w:abstractNumId w:val="817"/>
  </w:num>
  <w:num w:numId="968" w16cid:durableId="605963514">
    <w:abstractNumId w:val="787"/>
  </w:num>
  <w:num w:numId="969" w16cid:durableId="1597590487">
    <w:abstractNumId w:val="361"/>
  </w:num>
  <w:num w:numId="970" w16cid:durableId="1675109334">
    <w:abstractNumId w:val="901"/>
  </w:num>
  <w:num w:numId="971" w16cid:durableId="522862052">
    <w:abstractNumId w:val="475"/>
  </w:num>
  <w:num w:numId="972" w16cid:durableId="1650791279">
    <w:abstractNumId w:val="801"/>
  </w:num>
  <w:num w:numId="973" w16cid:durableId="1482622314">
    <w:abstractNumId w:val="974"/>
  </w:num>
  <w:num w:numId="974" w16cid:durableId="858618090">
    <w:abstractNumId w:val="84"/>
  </w:num>
  <w:num w:numId="975" w16cid:durableId="1431505323">
    <w:abstractNumId w:val="193"/>
  </w:num>
  <w:num w:numId="976" w16cid:durableId="1771462237">
    <w:abstractNumId w:val="761"/>
  </w:num>
  <w:num w:numId="977" w16cid:durableId="888758930">
    <w:abstractNumId w:val="630"/>
  </w:num>
  <w:num w:numId="978" w16cid:durableId="819157294">
    <w:abstractNumId w:val="547"/>
  </w:num>
  <w:num w:numId="979" w16cid:durableId="582187069">
    <w:abstractNumId w:val="1029"/>
  </w:num>
  <w:num w:numId="980" w16cid:durableId="297734833">
    <w:abstractNumId w:val="730"/>
  </w:num>
  <w:num w:numId="981" w16cid:durableId="510919946">
    <w:abstractNumId w:val="231"/>
  </w:num>
  <w:num w:numId="982" w16cid:durableId="813373914">
    <w:abstractNumId w:val="251"/>
  </w:num>
  <w:num w:numId="983" w16cid:durableId="622275150">
    <w:abstractNumId w:val="453"/>
  </w:num>
  <w:num w:numId="984" w16cid:durableId="1483230544">
    <w:abstractNumId w:val="500"/>
  </w:num>
  <w:num w:numId="985" w16cid:durableId="898901722">
    <w:abstractNumId w:val="321"/>
  </w:num>
  <w:num w:numId="986" w16cid:durableId="555047903">
    <w:abstractNumId w:val="298"/>
  </w:num>
  <w:num w:numId="987" w16cid:durableId="446631597">
    <w:abstractNumId w:val="33"/>
  </w:num>
  <w:num w:numId="988" w16cid:durableId="1039207565">
    <w:abstractNumId w:val="879"/>
  </w:num>
  <w:num w:numId="989" w16cid:durableId="2034841419">
    <w:abstractNumId w:val="984"/>
  </w:num>
  <w:num w:numId="990" w16cid:durableId="2008630831">
    <w:abstractNumId w:val="239"/>
  </w:num>
  <w:num w:numId="991" w16cid:durableId="1803496480">
    <w:abstractNumId w:val="973"/>
  </w:num>
  <w:num w:numId="992" w16cid:durableId="1765875169">
    <w:abstractNumId w:val="307"/>
  </w:num>
  <w:num w:numId="993" w16cid:durableId="166947481">
    <w:abstractNumId w:val="533"/>
  </w:num>
  <w:num w:numId="994" w16cid:durableId="725765282">
    <w:abstractNumId w:val="247"/>
  </w:num>
  <w:num w:numId="995" w16cid:durableId="190916985">
    <w:abstractNumId w:val="726"/>
  </w:num>
  <w:num w:numId="996" w16cid:durableId="431122320">
    <w:abstractNumId w:val="664"/>
  </w:num>
  <w:num w:numId="997" w16cid:durableId="571620454">
    <w:abstractNumId w:val="676"/>
  </w:num>
  <w:num w:numId="998" w16cid:durableId="1464081253">
    <w:abstractNumId w:val="291"/>
  </w:num>
  <w:num w:numId="999" w16cid:durableId="941954916">
    <w:abstractNumId w:val="43"/>
  </w:num>
  <w:num w:numId="1000" w16cid:durableId="1060596958">
    <w:abstractNumId w:val="828"/>
  </w:num>
  <w:num w:numId="1001" w16cid:durableId="1766151456">
    <w:abstractNumId w:val="832"/>
  </w:num>
  <w:num w:numId="1002" w16cid:durableId="1801611521">
    <w:abstractNumId w:val="170"/>
  </w:num>
  <w:num w:numId="1003" w16cid:durableId="380252619">
    <w:abstractNumId w:val="450"/>
  </w:num>
  <w:num w:numId="1004" w16cid:durableId="62147863">
    <w:abstractNumId w:val="786"/>
  </w:num>
  <w:num w:numId="1005" w16cid:durableId="342245683">
    <w:abstractNumId w:val="900"/>
  </w:num>
  <w:num w:numId="1006" w16cid:durableId="1671449911">
    <w:abstractNumId w:val="702"/>
  </w:num>
  <w:num w:numId="1007" w16cid:durableId="2109038877">
    <w:abstractNumId w:val="768"/>
  </w:num>
  <w:num w:numId="1008" w16cid:durableId="1478911321">
    <w:abstractNumId w:val="578"/>
  </w:num>
  <w:num w:numId="1009" w16cid:durableId="2120949828">
    <w:abstractNumId w:val="3"/>
  </w:num>
  <w:num w:numId="1010" w16cid:durableId="204342349">
    <w:abstractNumId w:val="953"/>
  </w:num>
  <w:num w:numId="1011" w16cid:durableId="1599752577">
    <w:abstractNumId w:val="629"/>
  </w:num>
  <w:num w:numId="1012" w16cid:durableId="649867396">
    <w:abstractNumId w:val="709"/>
  </w:num>
  <w:num w:numId="1013" w16cid:durableId="1975139458">
    <w:abstractNumId w:val="755"/>
  </w:num>
  <w:num w:numId="1014" w16cid:durableId="114761260">
    <w:abstractNumId w:val="666"/>
  </w:num>
  <w:num w:numId="1015" w16cid:durableId="233976819">
    <w:abstractNumId w:val="329"/>
  </w:num>
  <w:num w:numId="1016" w16cid:durableId="142091706">
    <w:abstractNumId w:val="605"/>
  </w:num>
  <w:num w:numId="1017" w16cid:durableId="650450883">
    <w:abstractNumId w:val="529"/>
  </w:num>
  <w:num w:numId="1018" w16cid:durableId="1092816191">
    <w:abstractNumId w:val="51"/>
  </w:num>
  <w:num w:numId="1019" w16cid:durableId="842627552">
    <w:abstractNumId w:val="88"/>
  </w:num>
  <w:num w:numId="1020" w16cid:durableId="1538202309">
    <w:abstractNumId w:val="145"/>
  </w:num>
  <w:num w:numId="1021" w16cid:durableId="1147088077">
    <w:abstractNumId w:val="509"/>
  </w:num>
  <w:num w:numId="1022" w16cid:durableId="637564466">
    <w:abstractNumId w:val="565"/>
  </w:num>
  <w:num w:numId="1023" w16cid:durableId="1921940770">
    <w:abstractNumId w:val="806"/>
  </w:num>
  <w:num w:numId="1024" w16cid:durableId="70081645">
    <w:abstractNumId w:val="171"/>
  </w:num>
  <w:num w:numId="1025" w16cid:durableId="1216116300">
    <w:abstractNumId w:val="368"/>
  </w:num>
  <w:num w:numId="1026" w16cid:durableId="1472869026">
    <w:abstractNumId w:val="862"/>
  </w:num>
  <w:num w:numId="1027" w16cid:durableId="991716988">
    <w:abstractNumId w:val="356"/>
  </w:num>
  <w:num w:numId="1028" w16cid:durableId="627978015">
    <w:abstractNumId w:val="526"/>
  </w:num>
  <w:num w:numId="1029" w16cid:durableId="61098485">
    <w:abstractNumId w:val="1033"/>
  </w:num>
  <w:num w:numId="1030" w16cid:durableId="768502936">
    <w:abstractNumId w:val="990"/>
  </w:num>
  <w:num w:numId="1031" w16cid:durableId="1035085407">
    <w:abstractNumId w:val="688"/>
  </w:num>
  <w:num w:numId="1032" w16cid:durableId="2126726505">
    <w:abstractNumId w:val="493"/>
  </w:num>
  <w:num w:numId="1033" w16cid:durableId="855003058">
    <w:abstractNumId w:val="940"/>
  </w:num>
  <w:num w:numId="1034" w16cid:durableId="1067336205">
    <w:abstractNumId w:val="352"/>
  </w:num>
  <w:num w:numId="1035" w16cid:durableId="2111394711">
    <w:abstractNumId w:val="1012"/>
  </w:num>
  <w:num w:numId="1036" w16cid:durableId="2002000945">
    <w:abstractNumId w:val="94"/>
  </w:num>
  <w:num w:numId="1037" w16cid:durableId="65032493">
    <w:abstractNumId w:val="871"/>
  </w:num>
  <w:num w:numId="1038" w16cid:durableId="1612662486">
    <w:abstractNumId w:val="410"/>
  </w:num>
  <w:num w:numId="1039" w16cid:durableId="2075466594">
    <w:abstractNumId w:val="337"/>
  </w:num>
  <w:num w:numId="1040" w16cid:durableId="120459033">
    <w:abstractNumId w:val="910"/>
  </w:num>
  <w:num w:numId="1041" w16cid:durableId="927542000">
    <w:abstractNumId w:val="855"/>
  </w:num>
  <w:num w:numId="1042" w16cid:durableId="1397121682">
    <w:abstractNumId w:val="487"/>
  </w:num>
  <w:num w:numId="1043" w16cid:durableId="1190072402">
    <w:abstractNumId w:val="506"/>
  </w:num>
  <w:num w:numId="1044" w16cid:durableId="270746588">
    <w:abstractNumId w:val="24"/>
  </w:num>
  <w:num w:numId="1045" w16cid:durableId="1616981705">
    <w:abstractNumId w:val="165"/>
  </w:num>
  <w:num w:numId="1046" w16cid:durableId="1913463822">
    <w:abstractNumId w:val="967"/>
  </w:num>
  <w:num w:numId="1047" w16cid:durableId="1911889060">
    <w:abstractNumId w:val="981"/>
  </w:num>
  <w:num w:numId="1048" w16cid:durableId="908350171">
    <w:abstractNumId w:val="852"/>
  </w:num>
  <w:num w:numId="1049" w16cid:durableId="469135745">
    <w:abstractNumId w:val="22"/>
  </w:num>
  <w:num w:numId="1050" w16cid:durableId="396628357">
    <w:abstractNumId w:val="668"/>
  </w:num>
  <w:num w:numId="1051" w16cid:durableId="1287005003">
    <w:abstractNumId w:val="22"/>
  </w:num>
  <w:num w:numId="1052" w16cid:durableId="979187147">
    <w:abstractNumId w:val="780"/>
  </w:num>
  <w:num w:numId="1053" w16cid:durableId="1625647793">
    <w:abstractNumId w:val="598"/>
  </w:num>
  <w:num w:numId="1054" w16cid:durableId="1988630987">
    <w:abstractNumId w:val="683"/>
  </w:num>
  <w:num w:numId="1055" w16cid:durableId="1209105048">
    <w:abstractNumId w:val="750"/>
  </w:num>
  <w:num w:numId="1056" w16cid:durableId="1393774252">
    <w:abstractNumId w:val="641"/>
  </w:num>
  <w:num w:numId="1057" w16cid:durableId="264776147">
    <w:abstractNumId w:val="355"/>
  </w:num>
  <w:num w:numId="1058" w16cid:durableId="1194347504">
    <w:abstractNumId w:val="580"/>
  </w:num>
  <w:num w:numId="1059" w16cid:durableId="481121141">
    <w:abstractNumId w:val="863"/>
  </w:num>
  <w:num w:numId="1060" w16cid:durableId="14817309">
    <w:abstractNumId w:val="655"/>
  </w:num>
  <w:num w:numId="1061" w16cid:durableId="339432414">
    <w:abstractNumId w:val="426"/>
  </w:num>
  <w:num w:numId="1062" w16cid:durableId="1511142766">
    <w:abstractNumId w:val="22"/>
  </w:num>
  <w:num w:numId="1063" w16cid:durableId="35930141">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05DD"/>
    <w:rsid w:val="00021F41"/>
    <w:rsid w:val="00022C7F"/>
    <w:rsid w:val="0002481F"/>
    <w:rsid w:val="00025966"/>
    <w:rsid w:val="00031F18"/>
    <w:rsid w:val="00037C8D"/>
    <w:rsid w:val="00047A06"/>
    <w:rsid w:val="00080B5E"/>
    <w:rsid w:val="000A1909"/>
    <w:rsid w:val="000A60ED"/>
    <w:rsid w:val="000E56AD"/>
    <w:rsid w:val="0010109B"/>
    <w:rsid w:val="00116566"/>
    <w:rsid w:val="00117472"/>
    <w:rsid w:val="00122C70"/>
    <w:rsid w:val="00130827"/>
    <w:rsid w:val="0014305D"/>
    <w:rsid w:val="0015468B"/>
    <w:rsid w:val="00156473"/>
    <w:rsid w:val="00157942"/>
    <w:rsid w:val="00163C7B"/>
    <w:rsid w:val="001905C2"/>
    <w:rsid w:val="001B1771"/>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208E"/>
    <w:rsid w:val="00303A87"/>
    <w:rsid w:val="0030732C"/>
    <w:rsid w:val="00330A5A"/>
    <w:rsid w:val="00344A41"/>
    <w:rsid w:val="00346E6B"/>
    <w:rsid w:val="00352FF1"/>
    <w:rsid w:val="003607C5"/>
    <w:rsid w:val="00366C59"/>
    <w:rsid w:val="00385E09"/>
    <w:rsid w:val="00396F46"/>
    <w:rsid w:val="003976BE"/>
    <w:rsid w:val="003B6D36"/>
    <w:rsid w:val="003C52F6"/>
    <w:rsid w:val="003D0A79"/>
    <w:rsid w:val="003D2036"/>
    <w:rsid w:val="003D2F2E"/>
    <w:rsid w:val="003D4627"/>
    <w:rsid w:val="003D6DB3"/>
    <w:rsid w:val="003E1595"/>
    <w:rsid w:val="003F0E0D"/>
    <w:rsid w:val="0040416A"/>
    <w:rsid w:val="004101C9"/>
    <w:rsid w:val="0041759B"/>
    <w:rsid w:val="00417C58"/>
    <w:rsid w:val="004222D7"/>
    <w:rsid w:val="0042342F"/>
    <w:rsid w:val="00431006"/>
    <w:rsid w:val="00431501"/>
    <w:rsid w:val="00431BE9"/>
    <w:rsid w:val="0045555A"/>
    <w:rsid w:val="004636D0"/>
    <w:rsid w:val="00471459"/>
    <w:rsid w:val="00475974"/>
    <w:rsid w:val="00477892"/>
    <w:rsid w:val="00482585"/>
    <w:rsid w:val="00491EBA"/>
    <w:rsid w:val="004A6A57"/>
    <w:rsid w:val="004B588D"/>
    <w:rsid w:val="004C374F"/>
    <w:rsid w:val="004C4BB4"/>
    <w:rsid w:val="004C5AB5"/>
    <w:rsid w:val="004E7413"/>
    <w:rsid w:val="0050133D"/>
    <w:rsid w:val="00501BE9"/>
    <w:rsid w:val="0050593E"/>
    <w:rsid w:val="0050787A"/>
    <w:rsid w:val="00530665"/>
    <w:rsid w:val="00557396"/>
    <w:rsid w:val="005635BB"/>
    <w:rsid w:val="00570855"/>
    <w:rsid w:val="0057268A"/>
    <w:rsid w:val="005729D7"/>
    <w:rsid w:val="0057482D"/>
    <w:rsid w:val="00577F1E"/>
    <w:rsid w:val="00595752"/>
    <w:rsid w:val="00596782"/>
    <w:rsid w:val="005A2726"/>
    <w:rsid w:val="005C5ACE"/>
    <w:rsid w:val="005E2CF1"/>
    <w:rsid w:val="00606763"/>
    <w:rsid w:val="006104C7"/>
    <w:rsid w:val="00612997"/>
    <w:rsid w:val="006315A5"/>
    <w:rsid w:val="006858FA"/>
    <w:rsid w:val="00691900"/>
    <w:rsid w:val="006A2FB0"/>
    <w:rsid w:val="006A5206"/>
    <w:rsid w:val="006B3DCD"/>
    <w:rsid w:val="006B5765"/>
    <w:rsid w:val="006C0DF8"/>
    <w:rsid w:val="006C37C9"/>
    <w:rsid w:val="006E53C6"/>
    <w:rsid w:val="00701A17"/>
    <w:rsid w:val="00760F24"/>
    <w:rsid w:val="007610E4"/>
    <w:rsid w:val="00763A34"/>
    <w:rsid w:val="00781DD5"/>
    <w:rsid w:val="00782243"/>
    <w:rsid w:val="00792998"/>
    <w:rsid w:val="007A63FA"/>
    <w:rsid w:val="007B0C3B"/>
    <w:rsid w:val="007B4BDD"/>
    <w:rsid w:val="007B78A6"/>
    <w:rsid w:val="007C1AEA"/>
    <w:rsid w:val="007D538A"/>
    <w:rsid w:val="007E6B90"/>
    <w:rsid w:val="007F53C0"/>
    <w:rsid w:val="008049AB"/>
    <w:rsid w:val="00805A89"/>
    <w:rsid w:val="00826E9C"/>
    <w:rsid w:val="008443A3"/>
    <w:rsid w:val="008468D4"/>
    <w:rsid w:val="008836E9"/>
    <w:rsid w:val="008900D4"/>
    <w:rsid w:val="008A6337"/>
    <w:rsid w:val="008C065D"/>
    <w:rsid w:val="008C3A5A"/>
    <w:rsid w:val="008C6364"/>
    <w:rsid w:val="008C79C5"/>
    <w:rsid w:val="008D4789"/>
    <w:rsid w:val="008E112A"/>
    <w:rsid w:val="00905082"/>
    <w:rsid w:val="009127D2"/>
    <w:rsid w:val="00914B21"/>
    <w:rsid w:val="00922457"/>
    <w:rsid w:val="009267D8"/>
    <w:rsid w:val="00927FC2"/>
    <w:rsid w:val="00930759"/>
    <w:rsid w:val="009366FD"/>
    <w:rsid w:val="00953F61"/>
    <w:rsid w:val="00987AEE"/>
    <w:rsid w:val="009B0A18"/>
    <w:rsid w:val="009C1B6C"/>
    <w:rsid w:val="009D0133"/>
    <w:rsid w:val="009E3DB7"/>
    <w:rsid w:val="009E5063"/>
    <w:rsid w:val="009F6087"/>
    <w:rsid w:val="00A14302"/>
    <w:rsid w:val="00A17BEA"/>
    <w:rsid w:val="00A316C9"/>
    <w:rsid w:val="00A415D9"/>
    <w:rsid w:val="00A42238"/>
    <w:rsid w:val="00A448D2"/>
    <w:rsid w:val="00A62E40"/>
    <w:rsid w:val="00A90297"/>
    <w:rsid w:val="00A946AF"/>
    <w:rsid w:val="00AA2E73"/>
    <w:rsid w:val="00AB7A8A"/>
    <w:rsid w:val="00AC0A67"/>
    <w:rsid w:val="00AC59FD"/>
    <w:rsid w:val="00AC628B"/>
    <w:rsid w:val="00AD1DF3"/>
    <w:rsid w:val="00AD38A8"/>
    <w:rsid w:val="00AD4009"/>
    <w:rsid w:val="00AD7466"/>
    <w:rsid w:val="00AD7588"/>
    <w:rsid w:val="00AE467A"/>
    <w:rsid w:val="00AF7138"/>
    <w:rsid w:val="00B01671"/>
    <w:rsid w:val="00B02C9F"/>
    <w:rsid w:val="00B179E3"/>
    <w:rsid w:val="00B3722D"/>
    <w:rsid w:val="00B46E08"/>
    <w:rsid w:val="00B8306C"/>
    <w:rsid w:val="00B866F8"/>
    <w:rsid w:val="00B93343"/>
    <w:rsid w:val="00BA48C8"/>
    <w:rsid w:val="00BB14F1"/>
    <w:rsid w:val="00BC06FD"/>
    <w:rsid w:val="00BC0B5C"/>
    <w:rsid w:val="00BC5086"/>
    <w:rsid w:val="00BE15BB"/>
    <w:rsid w:val="00C031C3"/>
    <w:rsid w:val="00C04D65"/>
    <w:rsid w:val="00C10D36"/>
    <w:rsid w:val="00C1419D"/>
    <w:rsid w:val="00C15EB2"/>
    <w:rsid w:val="00C26825"/>
    <w:rsid w:val="00C40837"/>
    <w:rsid w:val="00C46EAA"/>
    <w:rsid w:val="00C5542D"/>
    <w:rsid w:val="00C850B2"/>
    <w:rsid w:val="00CA2F66"/>
    <w:rsid w:val="00CB1727"/>
    <w:rsid w:val="00CB4E42"/>
    <w:rsid w:val="00CC4D42"/>
    <w:rsid w:val="00CD6D50"/>
    <w:rsid w:val="00CF49B0"/>
    <w:rsid w:val="00CF6D54"/>
    <w:rsid w:val="00D05433"/>
    <w:rsid w:val="00D0763A"/>
    <w:rsid w:val="00D1450B"/>
    <w:rsid w:val="00D33938"/>
    <w:rsid w:val="00D35DE9"/>
    <w:rsid w:val="00D507B1"/>
    <w:rsid w:val="00D518D9"/>
    <w:rsid w:val="00D53AC4"/>
    <w:rsid w:val="00D542B4"/>
    <w:rsid w:val="00D6117B"/>
    <w:rsid w:val="00D616A3"/>
    <w:rsid w:val="00D904F8"/>
    <w:rsid w:val="00D97433"/>
    <w:rsid w:val="00DA0ACC"/>
    <w:rsid w:val="00DA2FD9"/>
    <w:rsid w:val="00DA6558"/>
    <w:rsid w:val="00DB5F0E"/>
    <w:rsid w:val="00DB7FCD"/>
    <w:rsid w:val="00DD7AC3"/>
    <w:rsid w:val="00DE426C"/>
    <w:rsid w:val="00DE5690"/>
    <w:rsid w:val="00DE5A5E"/>
    <w:rsid w:val="00E07A91"/>
    <w:rsid w:val="00E172A2"/>
    <w:rsid w:val="00E206F1"/>
    <w:rsid w:val="00E30A5E"/>
    <w:rsid w:val="00E3337A"/>
    <w:rsid w:val="00E40B37"/>
    <w:rsid w:val="00E51465"/>
    <w:rsid w:val="00E551FD"/>
    <w:rsid w:val="00E7590E"/>
    <w:rsid w:val="00E8201B"/>
    <w:rsid w:val="00E83DAE"/>
    <w:rsid w:val="00E84E4F"/>
    <w:rsid w:val="00E86642"/>
    <w:rsid w:val="00EA0BC2"/>
    <w:rsid w:val="00EA7929"/>
    <w:rsid w:val="00EA7968"/>
    <w:rsid w:val="00EC48D7"/>
    <w:rsid w:val="00ED06D1"/>
    <w:rsid w:val="00ED0E45"/>
    <w:rsid w:val="00ED49A8"/>
    <w:rsid w:val="00ED7AE1"/>
    <w:rsid w:val="00EE70F0"/>
    <w:rsid w:val="00EF1059"/>
    <w:rsid w:val="00F044B5"/>
    <w:rsid w:val="00F07C67"/>
    <w:rsid w:val="00F51C98"/>
    <w:rsid w:val="00F81399"/>
    <w:rsid w:val="00FA0EF5"/>
    <w:rsid w:val="00FD44A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AC4E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557396"/>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aliases w:val="h5 Char,Heading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uiPriority w:val="34"/>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uiPriority w:val="99"/>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table" w:customStyle="1" w:styleId="TableGrid27">
    <w:name w:val="TableGrid27"/>
    <w:basedOn w:val="TableNormal"/>
    <w:uiPriority w:val="59"/>
    <w:qFormat/>
    <w:rsid w:val="009127D2"/>
    <w:pPr>
      <w:spacing w:after="180" w:line="240" w:lineRule="auto"/>
    </w:pPr>
    <w:rPr>
      <w:rFonts w:ascii="Times New Roman" w:eastAsia="MS Mincho" w:hAnsi="Times New Roman" w:cs="Times New Roman"/>
      <w:sz w:val="20"/>
      <w:szCs w:val="20"/>
      <w:lang w:val="en-C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9127D2"/>
    <w:pPr>
      <w:keepNext/>
      <w:jc w:val="center"/>
    </w:pPr>
    <w:rPr>
      <w:rFonts w:ascii="Calibri" w:eastAsia="SimSun" w:hAnsi="Calibri" w:cs="Arial"/>
      <w:kern w:val="2"/>
      <w:sz w:val="20"/>
      <w:szCs w:val="20"/>
    </w:rPr>
  </w:style>
  <w:style w:type="numbering" w:customStyle="1" w:styleId="StyleBulleted2">
    <w:name w:val="Style Bulleted2"/>
    <w:rsid w:val="009127D2"/>
    <w:pPr>
      <w:numPr>
        <w:numId w:val="689"/>
      </w:numPr>
    </w:pPr>
  </w:style>
  <w:style w:type="character" w:customStyle="1" w:styleId="CRCoverPageChar">
    <w:name w:val="CR Cover Page Char"/>
    <w:qFormat/>
    <w:rsid w:val="009127D2"/>
    <w:rPr>
      <w:rFonts w:ascii="Arial" w:eastAsia="Batang" w:hAnsi="Arial" w:cs="Times New Roman"/>
      <w:sz w:val="20"/>
      <w:szCs w:val="20"/>
      <w:lang w:val="en-GB" w:eastAsia="en-US"/>
    </w:rPr>
  </w:style>
  <w:style w:type="paragraph" w:customStyle="1" w:styleId="s">
    <w:name w:val="正文s"/>
    <w:basedOn w:val="Normal"/>
    <w:qFormat/>
    <w:rsid w:val="009127D2"/>
    <w:pPr>
      <w:jc w:val="both"/>
    </w:pPr>
    <w:rPr>
      <w:rFonts w:eastAsia="SimSun"/>
      <w:iCs/>
      <w:sz w:val="21"/>
      <w:szCs w:val="21"/>
    </w:rPr>
  </w:style>
  <w:style w:type="paragraph" w:customStyle="1" w:styleId="clean">
    <w:name w:val="clean"/>
    <w:uiPriority w:val="99"/>
    <w:semiHidden/>
    <w:qFormat/>
    <w:rsid w:val="009127D2"/>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9127D2"/>
    <w:rPr>
      <w:rFonts w:ascii="Calibri" w:eastAsia="MS PGothic" w:hAnsi="Calibri" w:cs="Calibri"/>
      <w:sz w:val="20"/>
      <w:szCs w:val="21"/>
      <w:lang w:eastAsia="en-US"/>
    </w:rPr>
  </w:style>
  <w:style w:type="character" w:customStyle="1" w:styleId="52">
    <w:name w:val="列表段落 字符5"/>
    <w:link w:val="24"/>
    <w:qFormat/>
    <w:rsid w:val="009127D2"/>
    <w:rPr>
      <w:rFonts w:ascii="Times" w:eastAsia="Batang" w:hAnsi="Times" w:cs="Times"/>
    </w:rPr>
  </w:style>
  <w:style w:type="paragraph" w:customStyle="1" w:styleId="24">
    <w:name w:val="列表段落2"/>
    <w:basedOn w:val="Normal"/>
    <w:link w:val="52"/>
    <w:rsid w:val="009127D2"/>
    <w:pPr>
      <w:spacing w:before="120"/>
      <w:ind w:leftChars="400" w:left="840" w:hanging="1440"/>
    </w:pPr>
    <w:rPr>
      <w:rFonts w:ascii="Times" w:eastAsia="Batang" w:hAnsi="Times" w:cs="Times"/>
      <w:sz w:val="22"/>
      <w:szCs w:val="22"/>
    </w:rPr>
  </w:style>
  <w:style w:type="character" w:customStyle="1" w:styleId="a2">
    <w:name w:val="清單段落 字元"/>
    <w:link w:val="ListParagraph1"/>
    <w:qFormat/>
    <w:rsid w:val="00B179E3"/>
    <w:rPr>
      <w:rFonts w:ascii="Times New Roman" w:eastAsia="Times New Roman" w:hAnsi="Times New Roman" w:cs="Times New Roman"/>
      <w:sz w:val="24"/>
      <w:szCs w:val="24"/>
    </w:rPr>
  </w:style>
  <w:style w:type="paragraph" w:customStyle="1" w:styleId="310">
    <w:name w:val="标题 31"/>
    <w:basedOn w:val="Normal"/>
    <w:next w:val="Normal"/>
    <w:autoRedefine/>
    <w:qFormat/>
    <w:rsid w:val="00B179E3"/>
    <w:pPr>
      <w:keepNext/>
      <w:keepLines/>
      <w:widowControl w:val="0"/>
      <w:spacing w:before="120" w:after="180"/>
      <w:ind w:left="1134" w:hanging="1134"/>
      <w:outlineLvl w:val="2"/>
    </w:pPr>
    <w:rPr>
      <w:rFonts w:ascii="Arial" w:eastAsia="SimSun" w:hAnsi="Arial"/>
      <w:sz w:val="28"/>
      <w:szCs w:val="28"/>
    </w:rPr>
  </w:style>
  <w:style w:type="paragraph" w:customStyle="1" w:styleId="1f">
    <w:name w:val="正文1"/>
    <w:autoRedefine/>
    <w:qFormat/>
    <w:rsid w:val="00B179E3"/>
    <w:pPr>
      <w:spacing w:before="100" w:beforeAutospacing="1" w:after="180" w:line="240" w:lineRule="auto"/>
    </w:pPr>
    <w:rPr>
      <w:rFonts w:ascii="Times New Roman" w:eastAsia="SimSun" w:hAnsi="Times New Roman" w:cs="Times New Roman"/>
      <w:sz w:val="24"/>
      <w:szCs w:val="24"/>
    </w:rPr>
  </w:style>
  <w:style w:type="paragraph" w:customStyle="1" w:styleId="1f0">
    <w:name w:val="清單段落1"/>
    <w:basedOn w:val="Normal"/>
    <w:uiPriority w:val="34"/>
    <w:qFormat/>
    <w:rsid w:val="00B179E3"/>
    <w:pPr>
      <w:ind w:leftChars="400" w:left="840"/>
    </w:pPr>
    <w:rPr>
      <w:rFonts w:ascii="Times" w:eastAsia="Batang" w:hAnsi="Times"/>
      <w:sz w:val="20"/>
      <w:lang w:val="en-GB"/>
    </w:rPr>
  </w:style>
  <w:style w:type="character" w:customStyle="1" w:styleId="Char1">
    <w:name w:val="목록 단락 Char1"/>
    <w:uiPriority w:val="34"/>
    <w:qFormat/>
    <w:locked/>
    <w:rsid w:val="00B179E3"/>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B179E3"/>
    <w:rPr>
      <w:color w:val="2B579A"/>
      <w:shd w:val="clear" w:color="auto" w:fill="E6E6E6"/>
    </w:rPr>
  </w:style>
  <w:style w:type="paragraph" w:customStyle="1" w:styleId="000proposal">
    <w:name w:val="000_proposal"/>
    <w:basedOn w:val="Normal"/>
    <w:qFormat/>
    <w:rsid w:val="00B179E3"/>
    <w:pPr>
      <w:spacing w:before="120" w:after="120" w:line="264" w:lineRule="auto"/>
      <w:jc w:val="both"/>
    </w:pPr>
    <w:rPr>
      <w:rFonts w:eastAsia="SimSun"/>
      <w:b/>
      <w:bCs/>
      <w:i/>
      <w:iCs/>
      <w:sz w:val="20"/>
    </w:rPr>
  </w:style>
  <w:style w:type="paragraph" w:customStyle="1" w:styleId="boldbullet1">
    <w:name w:val="boldbullet1"/>
    <w:basedOn w:val="Normal"/>
    <w:qFormat/>
    <w:rsid w:val="00B179E3"/>
    <w:pPr>
      <w:spacing w:after="120"/>
      <w:jc w:val="both"/>
    </w:pPr>
    <w:rPr>
      <w:rFonts w:eastAsia="SimSun"/>
      <w:b/>
      <w:sz w:val="20"/>
    </w:rPr>
  </w:style>
  <w:style w:type="table" w:styleId="GridTable4-Accent2">
    <w:name w:val="Grid Table 4 Accent 2"/>
    <w:basedOn w:val="TableNormal"/>
    <w:uiPriority w:val="49"/>
    <w:rsid w:val="0013082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13</Pages>
  <Words>5939</Words>
  <Characters>33854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2024-10-30T02:50:00Z</dcterms:created>
  <dcterms:modified xsi:type="dcterms:W3CDTF">2024-11-07T05:30:00Z</dcterms:modified>
</cp:coreProperties>
</file>